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line="292" w:lineRule="auto" w:before="91"/>
        <w:ind w:left="142" w:right="129"/>
        <w:jc w:val="both"/>
      </w:pPr>
      <w:r>
        <w:rPr>
          <w:b/>
          <w:color w:val="231F20"/>
        </w:rPr>
        <w:t>If</w:t>
      </w:r>
      <w:r>
        <w:rPr>
          <w:b/>
          <w:color w:val="231F20"/>
          <w:spacing w:val="23"/>
        </w:rPr>
        <w:t> </w:t>
      </w:r>
      <w:r>
        <w:rPr>
          <w:b/>
          <w:color w:val="231F20"/>
        </w:rPr>
        <w:t>you</w:t>
      </w:r>
      <w:r>
        <w:rPr>
          <w:b/>
          <w:color w:val="231F20"/>
          <w:spacing w:val="23"/>
        </w:rPr>
        <w:t> </w:t>
      </w:r>
      <w:r>
        <w:rPr>
          <w:b/>
          <w:color w:val="231F20"/>
        </w:rPr>
        <w:t>are</w:t>
      </w:r>
      <w:r>
        <w:rPr>
          <w:b/>
          <w:color w:val="231F20"/>
          <w:spacing w:val="23"/>
        </w:rPr>
        <w:t> </w:t>
      </w:r>
      <w:r>
        <w:rPr>
          <w:b/>
          <w:color w:val="231F20"/>
        </w:rPr>
        <w:t>in</w:t>
      </w:r>
      <w:r>
        <w:rPr>
          <w:b/>
          <w:color w:val="231F20"/>
          <w:spacing w:val="23"/>
        </w:rPr>
        <w:t> </w:t>
      </w:r>
      <w:r>
        <w:rPr>
          <w:b/>
          <w:color w:val="231F20"/>
        </w:rPr>
        <w:t>any</w:t>
      </w:r>
      <w:r>
        <w:rPr>
          <w:b/>
          <w:color w:val="231F20"/>
          <w:spacing w:val="23"/>
        </w:rPr>
        <w:t> </w:t>
      </w:r>
      <w:r>
        <w:rPr>
          <w:b/>
          <w:color w:val="231F20"/>
        </w:rPr>
        <w:t>doubt</w:t>
      </w:r>
      <w:r>
        <w:rPr>
          <w:b/>
          <w:color w:val="231F20"/>
          <w:spacing w:val="23"/>
        </w:rPr>
        <w:t> </w:t>
      </w:r>
      <w:r>
        <w:rPr>
          <w:color w:val="231F20"/>
        </w:rPr>
        <w:t>as</w:t>
      </w:r>
      <w:r>
        <w:rPr>
          <w:color w:val="231F20"/>
          <w:spacing w:val="23"/>
        </w:rPr>
        <w:t> </w:t>
      </w:r>
      <w:r>
        <w:rPr>
          <w:color w:val="231F20"/>
        </w:rPr>
        <w:t>to</w:t>
      </w:r>
      <w:r>
        <w:rPr>
          <w:color w:val="231F20"/>
          <w:spacing w:val="23"/>
        </w:rPr>
        <w:t> </w:t>
      </w:r>
      <w:r>
        <w:rPr>
          <w:color w:val="231F20"/>
        </w:rPr>
        <w:t>any</w:t>
      </w:r>
      <w:r>
        <w:rPr>
          <w:color w:val="231F20"/>
          <w:spacing w:val="23"/>
        </w:rPr>
        <w:t> </w:t>
      </w:r>
      <w:r>
        <w:rPr>
          <w:color w:val="231F20"/>
        </w:rPr>
        <w:t>aspect</w:t>
      </w:r>
      <w:r>
        <w:rPr>
          <w:color w:val="231F20"/>
          <w:spacing w:val="23"/>
        </w:rPr>
        <w:t> </w:t>
      </w:r>
      <w:r>
        <w:rPr>
          <w:color w:val="231F20"/>
        </w:rPr>
        <w:t>of</w:t>
      </w:r>
      <w:r>
        <w:rPr>
          <w:color w:val="231F20"/>
          <w:spacing w:val="23"/>
        </w:rPr>
        <w:t> </w:t>
      </w:r>
      <w:r>
        <w:rPr>
          <w:color w:val="231F20"/>
        </w:rPr>
        <w:t>this</w:t>
      </w:r>
      <w:r>
        <w:rPr>
          <w:color w:val="231F20"/>
          <w:spacing w:val="23"/>
        </w:rPr>
        <w:t> </w:t>
      </w:r>
      <w:r>
        <w:rPr>
          <w:color w:val="231F20"/>
        </w:rPr>
        <w:t>circular</w:t>
      </w:r>
      <w:r>
        <w:rPr>
          <w:color w:val="231F20"/>
          <w:spacing w:val="23"/>
        </w:rPr>
        <w:t> </w:t>
      </w:r>
      <w:r>
        <w:rPr>
          <w:color w:val="231F20"/>
        </w:rPr>
        <w:t>or</w:t>
      </w:r>
      <w:r>
        <w:rPr>
          <w:color w:val="231F20"/>
          <w:spacing w:val="23"/>
        </w:rPr>
        <w:t> </w:t>
      </w:r>
      <w:r>
        <w:rPr>
          <w:color w:val="231F20"/>
        </w:rPr>
        <w:t>as</w:t>
      </w:r>
      <w:r>
        <w:rPr>
          <w:color w:val="231F20"/>
          <w:spacing w:val="23"/>
        </w:rPr>
        <w:t> </w:t>
      </w:r>
      <w:r>
        <w:rPr>
          <w:color w:val="231F20"/>
        </w:rPr>
        <w:t>to</w:t>
      </w:r>
      <w:r>
        <w:rPr>
          <w:color w:val="231F20"/>
          <w:spacing w:val="23"/>
        </w:rPr>
        <w:t> </w:t>
      </w:r>
      <w:r>
        <w:rPr>
          <w:color w:val="231F20"/>
        </w:rPr>
        <w:t>the</w:t>
      </w:r>
      <w:r>
        <w:rPr>
          <w:color w:val="231F20"/>
          <w:spacing w:val="23"/>
        </w:rPr>
        <w:t> </w:t>
      </w:r>
      <w:r>
        <w:rPr>
          <w:color w:val="231F20"/>
        </w:rPr>
        <w:t>action</w:t>
      </w:r>
      <w:r>
        <w:rPr>
          <w:color w:val="231F20"/>
          <w:spacing w:val="23"/>
        </w:rPr>
        <w:t> </w:t>
      </w:r>
      <w:r>
        <w:rPr>
          <w:color w:val="231F20"/>
        </w:rPr>
        <w:t>to</w:t>
      </w:r>
      <w:r>
        <w:rPr>
          <w:color w:val="231F20"/>
          <w:spacing w:val="23"/>
        </w:rPr>
        <w:t> </w:t>
      </w:r>
      <w:r>
        <w:rPr>
          <w:color w:val="231F20"/>
        </w:rPr>
        <w:t>be</w:t>
      </w:r>
      <w:r>
        <w:rPr>
          <w:color w:val="231F20"/>
          <w:spacing w:val="23"/>
        </w:rPr>
        <w:t> </w:t>
      </w:r>
      <w:r>
        <w:rPr>
          <w:color w:val="231F20"/>
        </w:rPr>
        <w:t>taken,</w:t>
      </w:r>
      <w:r>
        <w:rPr>
          <w:color w:val="231F20"/>
          <w:spacing w:val="23"/>
        </w:rPr>
        <w:t> </w:t>
      </w:r>
      <w:r>
        <w:rPr>
          <w:color w:val="231F20"/>
        </w:rPr>
        <w:t>you</w:t>
      </w:r>
      <w:r>
        <w:rPr>
          <w:color w:val="231F20"/>
          <w:spacing w:val="23"/>
        </w:rPr>
        <w:t> </w:t>
      </w:r>
      <w:r>
        <w:rPr>
          <w:color w:val="231F20"/>
        </w:rPr>
        <w:t>should</w:t>
      </w:r>
      <w:r>
        <w:rPr>
          <w:color w:val="231F20"/>
          <w:spacing w:val="23"/>
        </w:rPr>
        <w:t> </w:t>
      </w:r>
      <w:r>
        <w:rPr>
          <w:color w:val="231F20"/>
        </w:rPr>
        <w:t>consult your</w:t>
      </w:r>
      <w:r>
        <w:rPr>
          <w:color w:val="231F20"/>
          <w:spacing w:val="22"/>
        </w:rPr>
        <w:t> </w:t>
      </w:r>
      <w:r>
        <w:rPr>
          <w:color w:val="231F20"/>
        </w:rPr>
        <w:t>licensed</w:t>
      </w:r>
      <w:r>
        <w:rPr>
          <w:color w:val="231F20"/>
          <w:spacing w:val="22"/>
        </w:rPr>
        <w:t> </w:t>
      </w:r>
      <w:r>
        <w:rPr>
          <w:color w:val="231F20"/>
        </w:rPr>
        <w:t>securities</w:t>
      </w:r>
      <w:r>
        <w:rPr>
          <w:color w:val="231F20"/>
          <w:spacing w:val="22"/>
        </w:rPr>
        <w:t> </w:t>
      </w:r>
      <w:r>
        <w:rPr>
          <w:color w:val="231F20"/>
        </w:rPr>
        <w:t>dealer,</w:t>
      </w:r>
      <w:r>
        <w:rPr>
          <w:color w:val="231F20"/>
          <w:spacing w:val="22"/>
        </w:rPr>
        <w:t> </w:t>
      </w:r>
      <w:r>
        <w:rPr>
          <w:color w:val="231F20"/>
        </w:rPr>
        <w:t>bank</w:t>
      </w:r>
      <w:r>
        <w:rPr>
          <w:color w:val="231F20"/>
          <w:spacing w:val="22"/>
        </w:rPr>
        <w:t> </w:t>
      </w:r>
      <w:r>
        <w:rPr>
          <w:color w:val="231F20"/>
        </w:rPr>
        <w:t>manager,</w:t>
      </w:r>
      <w:r>
        <w:rPr>
          <w:color w:val="231F20"/>
          <w:spacing w:val="22"/>
        </w:rPr>
        <w:t> </w:t>
      </w:r>
      <w:r>
        <w:rPr>
          <w:color w:val="231F20"/>
        </w:rPr>
        <w:t>solicitor,</w:t>
      </w:r>
      <w:r>
        <w:rPr>
          <w:color w:val="231F20"/>
          <w:spacing w:val="22"/>
        </w:rPr>
        <w:t> </w:t>
      </w:r>
      <w:r>
        <w:rPr>
          <w:color w:val="231F20"/>
        </w:rPr>
        <w:t>professional</w:t>
      </w:r>
      <w:r>
        <w:rPr>
          <w:color w:val="231F20"/>
          <w:spacing w:val="22"/>
        </w:rPr>
        <w:t> </w:t>
      </w:r>
      <w:r>
        <w:rPr>
          <w:color w:val="231F20"/>
        </w:rPr>
        <w:t>accountant</w:t>
      </w:r>
      <w:r>
        <w:rPr>
          <w:color w:val="231F20"/>
          <w:spacing w:val="22"/>
        </w:rPr>
        <w:t> </w:t>
      </w:r>
      <w:r>
        <w:rPr>
          <w:color w:val="231F20"/>
        </w:rPr>
        <w:t>or</w:t>
      </w:r>
      <w:r>
        <w:rPr>
          <w:color w:val="231F20"/>
          <w:spacing w:val="22"/>
        </w:rPr>
        <w:t> </w:t>
      </w:r>
      <w:r>
        <w:rPr>
          <w:color w:val="231F20"/>
        </w:rPr>
        <w:t>other</w:t>
      </w:r>
      <w:r>
        <w:rPr>
          <w:color w:val="231F20"/>
          <w:spacing w:val="22"/>
        </w:rPr>
        <w:t> </w:t>
      </w:r>
      <w:r>
        <w:rPr>
          <w:color w:val="231F20"/>
        </w:rPr>
        <w:t>professional</w:t>
      </w:r>
      <w:r>
        <w:rPr>
          <w:color w:val="231F20"/>
          <w:spacing w:val="22"/>
        </w:rPr>
        <w:t> </w:t>
      </w:r>
      <w:r>
        <w:rPr>
          <w:color w:val="231F20"/>
        </w:rPr>
        <w:t>adviser.</w:t>
      </w:r>
    </w:p>
    <w:p>
      <w:pPr>
        <w:pStyle w:val="BodyText"/>
        <w:spacing w:before="49"/>
      </w:pPr>
    </w:p>
    <w:p>
      <w:pPr>
        <w:pStyle w:val="BodyText"/>
        <w:spacing w:line="292" w:lineRule="auto"/>
        <w:ind w:left="142" w:right="134"/>
        <w:jc w:val="both"/>
      </w:pPr>
      <w:r>
        <w:rPr>
          <w:b/>
          <w:color w:val="231F20"/>
        </w:rPr>
        <w:t>If you have sold or transferred </w:t>
      </w:r>
      <w:r>
        <w:rPr>
          <w:color w:val="231F20"/>
        </w:rPr>
        <w:t>all your shares in Xiamen Jihong Co., Ltd, you should at once hand this</w:t>
      </w:r>
      <w:r>
        <w:rPr>
          <w:color w:val="231F20"/>
          <w:spacing w:val="80"/>
        </w:rPr>
        <w:t> </w:t>
      </w:r>
      <w:r>
        <w:rPr>
          <w:color w:val="231F20"/>
        </w:rPr>
        <w:t>circular and the accompanying form of proxy to the purchaser(s) or transferee(s) or to the bank, licensed securities dealer, or other agent through whom the sale or transfer was effected for transmission to the purchaser(s) or transferee(s).</w:t>
      </w:r>
    </w:p>
    <w:p>
      <w:pPr>
        <w:pStyle w:val="BodyText"/>
        <w:spacing w:before="48"/>
      </w:pPr>
    </w:p>
    <w:p>
      <w:pPr>
        <w:pStyle w:val="BodyText"/>
        <w:spacing w:line="292" w:lineRule="auto"/>
        <w:ind w:left="142" w:right="134"/>
        <w:jc w:val="both"/>
      </w:pPr>
      <w:r>
        <w:rPr>
          <w:color w:val="231F20"/>
        </w:rPr>
        <w:t>Hong</w:t>
      </w:r>
      <w:r>
        <w:rPr>
          <w:color w:val="231F20"/>
        </w:rPr>
        <w:t> Kong</w:t>
      </w:r>
      <w:r>
        <w:rPr>
          <w:color w:val="231F20"/>
        </w:rPr>
        <w:t> Exchanges and Clearing Limited and The Stock Exchange of Hong Kong Limited take no responsibility</w:t>
      </w:r>
      <w:r>
        <w:rPr>
          <w:color w:val="231F20"/>
          <w:spacing w:val="40"/>
        </w:rPr>
        <w:t> </w:t>
      </w:r>
      <w:r>
        <w:rPr>
          <w:color w:val="231F20"/>
        </w:rPr>
        <w:t>for</w:t>
      </w:r>
      <w:r>
        <w:rPr>
          <w:color w:val="231F20"/>
          <w:spacing w:val="40"/>
        </w:rPr>
        <w:t> </w:t>
      </w:r>
      <w:r>
        <w:rPr>
          <w:color w:val="231F20"/>
        </w:rPr>
        <w:t>the</w:t>
      </w:r>
      <w:r>
        <w:rPr>
          <w:color w:val="231F20"/>
          <w:spacing w:val="40"/>
        </w:rPr>
        <w:t> </w:t>
      </w:r>
      <w:r>
        <w:rPr>
          <w:color w:val="231F20"/>
        </w:rPr>
        <w:t>contents</w:t>
      </w:r>
      <w:r>
        <w:rPr>
          <w:color w:val="231F20"/>
          <w:spacing w:val="40"/>
        </w:rPr>
        <w:t> </w:t>
      </w:r>
      <w:r>
        <w:rPr>
          <w:color w:val="231F20"/>
        </w:rPr>
        <w:t>of</w:t>
      </w:r>
      <w:r>
        <w:rPr>
          <w:color w:val="231F20"/>
          <w:spacing w:val="40"/>
        </w:rPr>
        <w:t> </w:t>
      </w:r>
      <w:r>
        <w:rPr>
          <w:color w:val="231F20"/>
        </w:rPr>
        <w:t>this</w:t>
      </w:r>
      <w:r>
        <w:rPr>
          <w:color w:val="231F20"/>
          <w:spacing w:val="40"/>
        </w:rPr>
        <w:t> </w:t>
      </w:r>
      <w:r>
        <w:rPr>
          <w:color w:val="231F20"/>
        </w:rPr>
        <w:t>circular,</w:t>
      </w:r>
      <w:r>
        <w:rPr>
          <w:color w:val="231F20"/>
          <w:spacing w:val="40"/>
        </w:rPr>
        <w:t> </w:t>
      </w:r>
      <w:r>
        <w:rPr>
          <w:color w:val="231F20"/>
        </w:rPr>
        <w:t>make</w:t>
      </w:r>
      <w:r>
        <w:rPr>
          <w:color w:val="231F20"/>
          <w:spacing w:val="40"/>
        </w:rPr>
        <w:t> </w:t>
      </w:r>
      <w:r>
        <w:rPr>
          <w:color w:val="231F20"/>
        </w:rPr>
        <w:t>no</w:t>
      </w:r>
      <w:r>
        <w:rPr>
          <w:color w:val="231F20"/>
          <w:spacing w:val="40"/>
        </w:rPr>
        <w:t> </w:t>
      </w:r>
      <w:r>
        <w:rPr>
          <w:color w:val="231F20"/>
        </w:rPr>
        <w:t>representation</w:t>
      </w:r>
      <w:r>
        <w:rPr>
          <w:color w:val="231F20"/>
          <w:spacing w:val="40"/>
        </w:rPr>
        <w:t> </w:t>
      </w:r>
      <w:r>
        <w:rPr>
          <w:color w:val="231F20"/>
        </w:rPr>
        <w:t>as</w:t>
      </w:r>
      <w:r>
        <w:rPr>
          <w:color w:val="231F20"/>
          <w:spacing w:val="40"/>
        </w:rPr>
        <w:t> </w:t>
      </w:r>
      <w:r>
        <w:rPr>
          <w:color w:val="231F20"/>
        </w:rPr>
        <w:t>to</w:t>
      </w:r>
      <w:r>
        <w:rPr>
          <w:color w:val="231F20"/>
          <w:spacing w:val="40"/>
        </w:rPr>
        <w:t> </w:t>
      </w:r>
      <w:r>
        <w:rPr>
          <w:color w:val="231F20"/>
        </w:rPr>
        <w:t>its</w:t>
      </w:r>
      <w:r>
        <w:rPr>
          <w:color w:val="231F20"/>
          <w:spacing w:val="40"/>
        </w:rPr>
        <w:t> </w:t>
      </w:r>
      <w:r>
        <w:rPr>
          <w:color w:val="231F20"/>
        </w:rPr>
        <w:t>accuracy</w:t>
      </w:r>
      <w:r>
        <w:rPr>
          <w:color w:val="231F20"/>
          <w:spacing w:val="40"/>
        </w:rPr>
        <w:t> </w:t>
      </w:r>
      <w:r>
        <w:rPr>
          <w:color w:val="231F20"/>
        </w:rPr>
        <w:t>or</w:t>
      </w:r>
      <w:r>
        <w:rPr>
          <w:color w:val="231F20"/>
          <w:spacing w:val="40"/>
        </w:rPr>
        <w:t> </w:t>
      </w:r>
      <w:r>
        <w:rPr>
          <w:color w:val="231F20"/>
        </w:rPr>
        <w:t>completeness and expressly disclaim any liability whatsoever for any loss howsoever arising from or in reliance upon the</w:t>
      </w:r>
      <w:r>
        <w:rPr>
          <w:color w:val="231F20"/>
          <w:spacing w:val="40"/>
        </w:rPr>
        <w:t> </w:t>
      </w:r>
      <w:r>
        <w:rPr>
          <w:color w:val="231F20"/>
        </w:rPr>
        <w:t>whole</w:t>
      </w:r>
      <w:r>
        <w:rPr>
          <w:color w:val="231F20"/>
          <w:spacing w:val="40"/>
        </w:rPr>
        <w:t> </w:t>
      </w:r>
      <w:r>
        <w:rPr>
          <w:color w:val="231F20"/>
        </w:rPr>
        <w:t>or</w:t>
      </w:r>
      <w:r>
        <w:rPr>
          <w:color w:val="231F20"/>
          <w:spacing w:val="40"/>
        </w:rPr>
        <w:t> </w:t>
      </w:r>
      <w:r>
        <w:rPr>
          <w:color w:val="231F20"/>
        </w:rPr>
        <w:t>any</w:t>
      </w:r>
      <w:r>
        <w:rPr>
          <w:color w:val="231F20"/>
          <w:spacing w:val="40"/>
        </w:rPr>
        <w:t> </w:t>
      </w:r>
      <w:r>
        <w:rPr>
          <w:color w:val="231F20"/>
        </w:rPr>
        <w:t>part</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contents</w:t>
      </w:r>
      <w:r>
        <w:rPr>
          <w:color w:val="231F20"/>
          <w:spacing w:val="40"/>
        </w:rPr>
        <w:t> </w:t>
      </w:r>
      <w:r>
        <w:rPr>
          <w:color w:val="231F20"/>
        </w:rPr>
        <w:t>of</w:t>
      </w:r>
      <w:r>
        <w:rPr>
          <w:color w:val="231F20"/>
          <w:spacing w:val="40"/>
        </w:rPr>
        <w:t> </w:t>
      </w:r>
      <w:r>
        <w:rPr>
          <w:color w:val="231F20"/>
        </w:rPr>
        <w:t>this</w:t>
      </w:r>
      <w:r>
        <w:rPr>
          <w:color w:val="231F20"/>
          <w:spacing w:val="40"/>
        </w:rPr>
        <w:t> </w:t>
      </w:r>
      <w:r>
        <w:rPr>
          <w:color w:val="231F20"/>
        </w:rPr>
        <w:t>circular.</w:t>
      </w:r>
    </w:p>
    <w:p>
      <w:pPr>
        <w:pStyle w:val="BodyText"/>
      </w:pPr>
    </w:p>
    <w:p>
      <w:pPr>
        <w:pStyle w:val="BodyText"/>
        <w:spacing w:before="22"/>
      </w:pPr>
      <w:r>
        <w:rPr/>
        <mc:AlternateContent>
          <mc:Choice Requires="wps">
            <w:drawing>
              <wp:anchor distT="0" distB="0" distL="0" distR="0" allowOverlap="1" layoutInCell="1" locked="0" behindDoc="1" simplePos="0" relativeHeight="487587840">
                <wp:simplePos x="0" y="0"/>
                <wp:positionH relativeFrom="page">
                  <wp:posOffset>899999</wp:posOffset>
                </wp:positionH>
                <wp:positionV relativeFrom="paragraph">
                  <wp:posOffset>175269</wp:posOffset>
                </wp:positionV>
                <wp:extent cx="5760085" cy="1270"/>
                <wp:effectExtent l="0" t="0" r="0" b="0"/>
                <wp:wrapTopAndBottom/>
                <wp:docPr id="4" name="Graphic 4"/>
                <wp:cNvGraphicFramePr>
                  <a:graphicFrameLocks/>
                </wp:cNvGraphicFramePr>
                <a:graphic>
                  <a:graphicData uri="http://schemas.microsoft.com/office/word/2010/wordprocessingShape">
                    <wps:wsp>
                      <wps:cNvPr id="4" name="Graphic 4"/>
                      <wps:cNvSpPr/>
                      <wps:spPr>
                        <a:xfrm>
                          <a:off x="0" y="0"/>
                          <a:ext cx="5760085" cy="1270"/>
                        </a:xfrm>
                        <a:custGeom>
                          <a:avLst/>
                          <a:gdLst/>
                          <a:ahLst/>
                          <a:cxnLst/>
                          <a:rect l="l" t="t" r="r" b="b"/>
                          <a:pathLst>
                            <a:path w="5760085" h="0">
                              <a:moveTo>
                                <a:pt x="0" y="0"/>
                              </a:moveTo>
                              <a:lnTo>
                                <a:pt x="5759996"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70.866096pt;margin-top:13.800744pt;width:453.55pt;height:.1pt;mso-position-horizontal-relative:page;mso-position-vertical-relative:paragraph;z-index:-15728640;mso-wrap-distance-left:0;mso-wrap-distance-right:0" id="docshape2" coordorigin="1417,276" coordsize="9071,0" path="m1417,276l10488,276e" filled="false" stroked="true" strokeweight=".5pt" strokecolor="#231f20">
                <v:path arrowok="t"/>
                <v:stroke dashstyle="solid"/>
                <w10:wrap type="topAndBottom"/>
              </v:shape>
            </w:pict>
          </mc:Fallback>
        </mc:AlternateContent>
      </w:r>
    </w:p>
    <w:p>
      <w:pPr>
        <w:pStyle w:val="BodyText"/>
        <w:spacing w:before="368"/>
        <w:rPr>
          <w:sz w:val="34"/>
        </w:rPr>
      </w:pPr>
    </w:p>
    <w:p>
      <w:pPr>
        <w:pStyle w:val="Heading1"/>
        <w:spacing w:before="1"/>
      </w:pPr>
      <w:r>
        <w:rPr/>
        <mc:AlternateContent>
          <mc:Choice Requires="wps">
            <w:drawing>
              <wp:anchor distT="0" distB="0" distL="0" distR="0" allowOverlap="1" layoutInCell="1" locked="0" behindDoc="0" simplePos="0" relativeHeight="15729664">
                <wp:simplePos x="0" y="0"/>
                <wp:positionH relativeFrom="page">
                  <wp:posOffset>1918566</wp:posOffset>
                </wp:positionH>
                <wp:positionV relativeFrom="paragraph">
                  <wp:posOffset>-131346</wp:posOffset>
                </wp:positionV>
                <wp:extent cx="691515" cy="691515"/>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691515" cy="691515"/>
                          <a:chExt cx="691515" cy="691515"/>
                        </a:xfrm>
                      </wpg:grpSpPr>
                      <wps:wsp>
                        <wps:cNvPr id="6" name="Graphic 6"/>
                        <wps:cNvSpPr/>
                        <wps:spPr>
                          <a:xfrm>
                            <a:off x="182678" y="183042"/>
                            <a:ext cx="325755" cy="325755"/>
                          </a:xfrm>
                          <a:custGeom>
                            <a:avLst/>
                            <a:gdLst/>
                            <a:ahLst/>
                            <a:cxnLst/>
                            <a:rect l="l" t="t" r="r" b="b"/>
                            <a:pathLst>
                              <a:path w="325755" h="325755">
                                <a:moveTo>
                                  <a:pt x="162612" y="0"/>
                                </a:moveTo>
                                <a:lnTo>
                                  <a:pt x="5905" y="148361"/>
                                </a:lnTo>
                                <a:lnTo>
                                  <a:pt x="0" y="162615"/>
                                </a:lnTo>
                                <a:lnTo>
                                  <a:pt x="1476" y="170198"/>
                                </a:lnTo>
                                <a:lnTo>
                                  <a:pt x="5905" y="176860"/>
                                </a:lnTo>
                                <a:lnTo>
                                  <a:pt x="148361" y="319316"/>
                                </a:lnTo>
                                <a:lnTo>
                                  <a:pt x="155029" y="323745"/>
                                </a:lnTo>
                                <a:lnTo>
                                  <a:pt x="162612" y="325221"/>
                                </a:lnTo>
                                <a:lnTo>
                                  <a:pt x="170198" y="323745"/>
                                </a:lnTo>
                                <a:lnTo>
                                  <a:pt x="176872" y="319316"/>
                                </a:lnTo>
                                <a:lnTo>
                                  <a:pt x="242195" y="253987"/>
                                </a:lnTo>
                                <a:lnTo>
                                  <a:pt x="162612" y="253987"/>
                                </a:lnTo>
                                <a:lnTo>
                                  <a:pt x="155029" y="252510"/>
                                </a:lnTo>
                                <a:lnTo>
                                  <a:pt x="148361" y="248081"/>
                                </a:lnTo>
                                <a:lnTo>
                                  <a:pt x="77139" y="176860"/>
                                </a:lnTo>
                                <a:lnTo>
                                  <a:pt x="72717" y="170198"/>
                                </a:lnTo>
                                <a:lnTo>
                                  <a:pt x="71243" y="162615"/>
                                </a:lnTo>
                                <a:lnTo>
                                  <a:pt x="72717" y="155030"/>
                                </a:lnTo>
                                <a:lnTo>
                                  <a:pt x="77139" y="148361"/>
                                </a:lnTo>
                                <a:lnTo>
                                  <a:pt x="148361" y="77139"/>
                                </a:lnTo>
                                <a:lnTo>
                                  <a:pt x="155029" y="72717"/>
                                </a:lnTo>
                                <a:lnTo>
                                  <a:pt x="162612" y="71243"/>
                                </a:lnTo>
                                <a:lnTo>
                                  <a:pt x="242205" y="71243"/>
                                </a:lnTo>
                                <a:lnTo>
                                  <a:pt x="176872" y="5905"/>
                                </a:lnTo>
                                <a:lnTo>
                                  <a:pt x="170198" y="1476"/>
                                </a:lnTo>
                                <a:lnTo>
                                  <a:pt x="162612" y="0"/>
                                </a:lnTo>
                                <a:close/>
                              </a:path>
                              <a:path w="325755" h="325755">
                                <a:moveTo>
                                  <a:pt x="242205" y="71243"/>
                                </a:moveTo>
                                <a:lnTo>
                                  <a:pt x="162612" y="71243"/>
                                </a:lnTo>
                                <a:lnTo>
                                  <a:pt x="170198" y="72717"/>
                                </a:lnTo>
                                <a:lnTo>
                                  <a:pt x="176872" y="77139"/>
                                </a:lnTo>
                                <a:lnTo>
                                  <a:pt x="248081" y="148361"/>
                                </a:lnTo>
                                <a:lnTo>
                                  <a:pt x="252510" y="155030"/>
                                </a:lnTo>
                                <a:lnTo>
                                  <a:pt x="253987" y="162615"/>
                                </a:lnTo>
                                <a:lnTo>
                                  <a:pt x="252510" y="170198"/>
                                </a:lnTo>
                                <a:lnTo>
                                  <a:pt x="248081" y="176860"/>
                                </a:lnTo>
                                <a:lnTo>
                                  <a:pt x="176872" y="248081"/>
                                </a:lnTo>
                                <a:lnTo>
                                  <a:pt x="170198" y="252510"/>
                                </a:lnTo>
                                <a:lnTo>
                                  <a:pt x="162612" y="253987"/>
                                </a:lnTo>
                                <a:lnTo>
                                  <a:pt x="242195" y="253987"/>
                                </a:lnTo>
                                <a:lnTo>
                                  <a:pt x="319316" y="176860"/>
                                </a:lnTo>
                                <a:lnTo>
                                  <a:pt x="323745" y="170198"/>
                                </a:lnTo>
                                <a:lnTo>
                                  <a:pt x="325221" y="162615"/>
                                </a:lnTo>
                                <a:lnTo>
                                  <a:pt x="323745" y="155030"/>
                                </a:lnTo>
                                <a:lnTo>
                                  <a:pt x="319316" y="148361"/>
                                </a:lnTo>
                                <a:lnTo>
                                  <a:pt x="242205" y="71243"/>
                                </a:lnTo>
                                <a:close/>
                              </a:path>
                            </a:pathLst>
                          </a:custGeom>
                          <a:solidFill>
                            <a:srgbClr val="902635"/>
                          </a:solidFill>
                        </wps:spPr>
                        <wps:bodyPr wrap="square" lIns="0" tIns="0" rIns="0" bIns="0" rtlCol="0">
                          <a:prstTxWarp prst="textNoShape">
                            <a:avLst/>
                          </a:prstTxWarp>
                          <a:noAutofit/>
                        </wps:bodyPr>
                      </wps:wsp>
                      <wps:wsp>
                        <wps:cNvPr id="7" name="Graphic 7"/>
                        <wps:cNvSpPr/>
                        <wps:spPr>
                          <a:xfrm>
                            <a:off x="-2" y="7"/>
                            <a:ext cx="691515" cy="691515"/>
                          </a:xfrm>
                          <a:custGeom>
                            <a:avLst/>
                            <a:gdLst/>
                            <a:ahLst/>
                            <a:cxnLst/>
                            <a:rect l="l" t="t" r="r" b="b"/>
                            <a:pathLst>
                              <a:path w="691515" h="691515">
                                <a:moveTo>
                                  <a:pt x="320497" y="565670"/>
                                </a:moveTo>
                                <a:lnTo>
                                  <a:pt x="318376" y="560527"/>
                                </a:lnTo>
                                <a:lnTo>
                                  <a:pt x="314579" y="556768"/>
                                </a:lnTo>
                                <a:lnTo>
                                  <a:pt x="270192" y="512381"/>
                                </a:lnTo>
                                <a:lnTo>
                                  <a:pt x="270192" y="586536"/>
                                </a:lnTo>
                                <a:lnTo>
                                  <a:pt x="270192" y="640664"/>
                                </a:lnTo>
                                <a:lnTo>
                                  <a:pt x="216319" y="640664"/>
                                </a:lnTo>
                                <a:lnTo>
                                  <a:pt x="210985" y="638454"/>
                                </a:lnTo>
                                <a:lnTo>
                                  <a:pt x="52514" y="479971"/>
                                </a:lnTo>
                                <a:lnTo>
                                  <a:pt x="50368" y="474751"/>
                                </a:lnTo>
                                <a:lnTo>
                                  <a:pt x="50469" y="442252"/>
                                </a:lnTo>
                                <a:lnTo>
                                  <a:pt x="52158" y="433984"/>
                                </a:lnTo>
                                <a:lnTo>
                                  <a:pt x="56730" y="427228"/>
                                </a:lnTo>
                                <a:lnTo>
                                  <a:pt x="63512" y="422681"/>
                                </a:lnTo>
                                <a:lnTo>
                                  <a:pt x="71666" y="421030"/>
                                </a:lnTo>
                                <a:lnTo>
                                  <a:pt x="104711" y="421030"/>
                                </a:lnTo>
                                <a:lnTo>
                                  <a:pt x="109893" y="423176"/>
                                </a:lnTo>
                                <a:lnTo>
                                  <a:pt x="268046" y="581342"/>
                                </a:lnTo>
                                <a:lnTo>
                                  <a:pt x="270192" y="586536"/>
                                </a:lnTo>
                                <a:lnTo>
                                  <a:pt x="270192" y="512381"/>
                                </a:lnTo>
                                <a:lnTo>
                                  <a:pt x="178854" y="421030"/>
                                </a:lnTo>
                                <a:lnTo>
                                  <a:pt x="130695" y="372859"/>
                                </a:lnTo>
                                <a:lnTo>
                                  <a:pt x="125577" y="370738"/>
                                </a:lnTo>
                                <a:lnTo>
                                  <a:pt x="20256" y="370738"/>
                                </a:lnTo>
                                <a:lnTo>
                                  <a:pt x="12623" y="372262"/>
                                </a:lnTo>
                                <a:lnTo>
                                  <a:pt x="6121" y="376567"/>
                                </a:lnTo>
                                <a:lnTo>
                                  <a:pt x="1676" y="382943"/>
                                </a:lnTo>
                                <a:lnTo>
                                  <a:pt x="25" y="390766"/>
                                </a:lnTo>
                                <a:lnTo>
                                  <a:pt x="0" y="495566"/>
                                </a:lnTo>
                                <a:lnTo>
                                  <a:pt x="2120" y="500710"/>
                                </a:lnTo>
                                <a:lnTo>
                                  <a:pt x="190169" y="688759"/>
                                </a:lnTo>
                                <a:lnTo>
                                  <a:pt x="195567" y="690981"/>
                                </a:lnTo>
                                <a:lnTo>
                                  <a:pt x="300316" y="690981"/>
                                </a:lnTo>
                                <a:lnTo>
                                  <a:pt x="308152" y="689419"/>
                                </a:lnTo>
                                <a:lnTo>
                                  <a:pt x="314566" y="685101"/>
                                </a:lnTo>
                                <a:lnTo>
                                  <a:pt x="318884" y="678700"/>
                                </a:lnTo>
                                <a:lnTo>
                                  <a:pt x="320484" y="670852"/>
                                </a:lnTo>
                                <a:lnTo>
                                  <a:pt x="320484" y="640664"/>
                                </a:lnTo>
                                <a:lnTo>
                                  <a:pt x="320497" y="565670"/>
                                </a:lnTo>
                                <a:close/>
                              </a:path>
                              <a:path w="691515" h="691515">
                                <a:moveTo>
                                  <a:pt x="320560" y="20485"/>
                                </a:moveTo>
                                <a:lnTo>
                                  <a:pt x="318998" y="12611"/>
                                </a:lnTo>
                                <a:lnTo>
                                  <a:pt x="314693" y="6096"/>
                                </a:lnTo>
                                <a:lnTo>
                                  <a:pt x="308305" y="1651"/>
                                </a:lnTo>
                                <a:lnTo>
                                  <a:pt x="300482" y="0"/>
                                </a:lnTo>
                                <a:lnTo>
                                  <a:pt x="270230" y="0"/>
                                </a:lnTo>
                                <a:lnTo>
                                  <a:pt x="270230" y="71780"/>
                                </a:lnTo>
                                <a:lnTo>
                                  <a:pt x="270217" y="106133"/>
                                </a:lnTo>
                                <a:lnTo>
                                  <a:pt x="269087" y="108839"/>
                                </a:lnTo>
                                <a:lnTo>
                                  <a:pt x="108877" y="269062"/>
                                </a:lnTo>
                                <a:lnTo>
                                  <a:pt x="106172" y="270179"/>
                                </a:lnTo>
                                <a:lnTo>
                                  <a:pt x="50584" y="270179"/>
                                </a:lnTo>
                                <a:lnTo>
                                  <a:pt x="50647" y="214693"/>
                                </a:lnTo>
                                <a:lnTo>
                                  <a:pt x="51765" y="211988"/>
                                </a:lnTo>
                                <a:lnTo>
                                  <a:pt x="212305" y="51460"/>
                                </a:lnTo>
                                <a:lnTo>
                                  <a:pt x="214757" y="50457"/>
                                </a:lnTo>
                                <a:lnTo>
                                  <a:pt x="248996" y="50457"/>
                                </a:lnTo>
                                <a:lnTo>
                                  <a:pt x="257276" y="52146"/>
                                </a:lnTo>
                                <a:lnTo>
                                  <a:pt x="264033" y="56730"/>
                                </a:lnTo>
                                <a:lnTo>
                                  <a:pt x="268579" y="63500"/>
                                </a:lnTo>
                                <a:lnTo>
                                  <a:pt x="270230" y="71780"/>
                                </a:lnTo>
                                <a:lnTo>
                                  <a:pt x="270230" y="0"/>
                                </a:lnTo>
                                <a:lnTo>
                                  <a:pt x="195656" y="0"/>
                                </a:lnTo>
                                <a:lnTo>
                                  <a:pt x="190538" y="2095"/>
                                </a:lnTo>
                                <a:lnTo>
                                  <a:pt x="6273" y="186359"/>
                                </a:lnTo>
                                <a:lnTo>
                                  <a:pt x="5410" y="187261"/>
                                </a:lnTo>
                                <a:lnTo>
                                  <a:pt x="4800" y="188353"/>
                                </a:lnTo>
                                <a:lnTo>
                                  <a:pt x="3949" y="189611"/>
                                </a:lnTo>
                                <a:lnTo>
                                  <a:pt x="2768" y="191897"/>
                                </a:lnTo>
                                <a:lnTo>
                                  <a:pt x="1003" y="196037"/>
                                </a:lnTo>
                                <a:lnTo>
                                  <a:pt x="584" y="198780"/>
                                </a:lnTo>
                                <a:lnTo>
                                  <a:pt x="482" y="199402"/>
                                </a:lnTo>
                                <a:lnTo>
                                  <a:pt x="368" y="200596"/>
                                </a:lnTo>
                                <a:lnTo>
                                  <a:pt x="254" y="300291"/>
                                </a:lnTo>
                                <a:lnTo>
                                  <a:pt x="1841" y="308140"/>
                                </a:lnTo>
                                <a:lnTo>
                                  <a:pt x="6159" y="314553"/>
                                </a:lnTo>
                                <a:lnTo>
                                  <a:pt x="12560" y="318871"/>
                                </a:lnTo>
                                <a:lnTo>
                                  <a:pt x="20459" y="320471"/>
                                </a:lnTo>
                                <a:lnTo>
                                  <a:pt x="125577" y="320471"/>
                                </a:lnTo>
                                <a:lnTo>
                                  <a:pt x="178879" y="270179"/>
                                </a:lnTo>
                                <a:lnTo>
                                  <a:pt x="318376" y="130670"/>
                                </a:lnTo>
                                <a:lnTo>
                                  <a:pt x="320548" y="50457"/>
                                </a:lnTo>
                                <a:lnTo>
                                  <a:pt x="320560" y="20485"/>
                                </a:lnTo>
                                <a:close/>
                              </a:path>
                              <a:path w="691515" h="691515">
                                <a:moveTo>
                                  <a:pt x="690892" y="195275"/>
                                </a:moveTo>
                                <a:lnTo>
                                  <a:pt x="688784" y="190144"/>
                                </a:lnTo>
                                <a:lnTo>
                                  <a:pt x="640613" y="141986"/>
                                </a:lnTo>
                                <a:lnTo>
                                  <a:pt x="640613" y="214706"/>
                                </a:lnTo>
                                <a:lnTo>
                                  <a:pt x="640600" y="248945"/>
                                </a:lnTo>
                                <a:lnTo>
                                  <a:pt x="638924" y="257238"/>
                                </a:lnTo>
                                <a:lnTo>
                                  <a:pt x="634352" y="264020"/>
                                </a:lnTo>
                                <a:lnTo>
                                  <a:pt x="627570" y="268579"/>
                                </a:lnTo>
                                <a:lnTo>
                                  <a:pt x="619277" y="270243"/>
                                </a:lnTo>
                                <a:lnTo>
                                  <a:pt x="585165" y="270243"/>
                                </a:lnTo>
                                <a:lnTo>
                                  <a:pt x="582409" y="269087"/>
                                </a:lnTo>
                                <a:lnTo>
                                  <a:pt x="421894" y="108546"/>
                                </a:lnTo>
                                <a:lnTo>
                                  <a:pt x="420928" y="105829"/>
                                </a:lnTo>
                                <a:lnTo>
                                  <a:pt x="420928" y="50634"/>
                                </a:lnTo>
                                <a:lnTo>
                                  <a:pt x="476554" y="50634"/>
                                </a:lnTo>
                                <a:lnTo>
                                  <a:pt x="479259" y="51765"/>
                                </a:lnTo>
                                <a:lnTo>
                                  <a:pt x="639495" y="211988"/>
                                </a:lnTo>
                                <a:lnTo>
                                  <a:pt x="640613" y="214706"/>
                                </a:lnTo>
                                <a:lnTo>
                                  <a:pt x="640613" y="141986"/>
                                </a:lnTo>
                                <a:lnTo>
                                  <a:pt x="549249" y="50634"/>
                                </a:lnTo>
                                <a:lnTo>
                                  <a:pt x="501091" y="2476"/>
                                </a:lnTo>
                                <a:lnTo>
                                  <a:pt x="495985" y="355"/>
                                </a:lnTo>
                                <a:lnTo>
                                  <a:pt x="390639" y="355"/>
                                </a:lnTo>
                                <a:lnTo>
                                  <a:pt x="383070" y="1866"/>
                                </a:lnTo>
                                <a:lnTo>
                                  <a:pt x="376669" y="6159"/>
                                </a:lnTo>
                                <a:lnTo>
                                  <a:pt x="372351" y="12547"/>
                                </a:lnTo>
                                <a:lnTo>
                                  <a:pt x="370751" y="20370"/>
                                </a:lnTo>
                                <a:lnTo>
                                  <a:pt x="370471" y="105829"/>
                                </a:lnTo>
                                <a:lnTo>
                                  <a:pt x="370395" y="125158"/>
                                </a:lnTo>
                                <a:lnTo>
                                  <a:pt x="372516" y="130314"/>
                                </a:lnTo>
                                <a:lnTo>
                                  <a:pt x="560565" y="318350"/>
                                </a:lnTo>
                                <a:lnTo>
                                  <a:pt x="565988" y="320598"/>
                                </a:lnTo>
                                <a:lnTo>
                                  <a:pt x="670712" y="320598"/>
                                </a:lnTo>
                                <a:lnTo>
                                  <a:pt x="678548" y="319024"/>
                                </a:lnTo>
                                <a:lnTo>
                                  <a:pt x="684961" y="314706"/>
                                </a:lnTo>
                                <a:lnTo>
                                  <a:pt x="689292" y="308292"/>
                                </a:lnTo>
                                <a:lnTo>
                                  <a:pt x="690880" y="300456"/>
                                </a:lnTo>
                                <a:lnTo>
                                  <a:pt x="690880" y="270243"/>
                                </a:lnTo>
                                <a:lnTo>
                                  <a:pt x="690892" y="195275"/>
                                </a:lnTo>
                                <a:close/>
                              </a:path>
                              <a:path w="691515" h="691515">
                                <a:moveTo>
                                  <a:pt x="691426" y="391045"/>
                                </a:moveTo>
                                <a:lnTo>
                                  <a:pt x="689851" y="383184"/>
                                </a:lnTo>
                                <a:lnTo>
                                  <a:pt x="685533" y="376783"/>
                                </a:lnTo>
                                <a:lnTo>
                                  <a:pt x="679132" y="372452"/>
                                </a:lnTo>
                                <a:lnTo>
                                  <a:pt x="671283" y="370878"/>
                                </a:lnTo>
                                <a:lnTo>
                                  <a:pt x="641108" y="370878"/>
                                </a:lnTo>
                                <a:lnTo>
                                  <a:pt x="641108" y="421157"/>
                                </a:lnTo>
                                <a:lnTo>
                                  <a:pt x="641108" y="476643"/>
                                </a:lnTo>
                                <a:lnTo>
                                  <a:pt x="639927" y="479348"/>
                                </a:lnTo>
                                <a:lnTo>
                                  <a:pt x="479386" y="639876"/>
                                </a:lnTo>
                                <a:lnTo>
                                  <a:pt x="476656" y="640994"/>
                                </a:lnTo>
                                <a:lnTo>
                                  <a:pt x="443242" y="640994"/>
                                </a:lnTo>
                                <a:lnTo>
                                  <a:pt x="434416" y="639178"/>
                                </a:lnTo>
                                <a:lnTo>
                                  <a:pt x="427659" y="634606"/>
                                </a:lnTo>
                                <a:lnTo>
                                  <a:pt x="423113" y="627837"/>
                                </a:lnTo>
                                <a:lnTo>
                                  <a:pt x="421449" y="619556"/>
                                </a:lnTo>
                                <a:lnTo>
                                  <a:pt x="421474" y="585190"/>
                                </a:lnTo>
                                <a:lnTo>
                                  <a:pt x="422592" y="582485"/>
                                </a:lnTo>
                                <a:lnTo>
                                  <a:pt x="582815" y="422275"/>
                                </a:lnTo>
                                <a:lnTo>
                                  <a:pt x="585495" y="421157"/>
                                </a:lnTo>
                                <a:lnTo>
                                  <a:pt x="641108" y="421157"/>
                                </a:lnTo>
                                <a:lnTo>
                                  <a:pt x="641108" y="370878"/>
                                </a:lnTo>
                                <a:lnTo>
                                  <a:pt x="566039" y="370878"/>
                                </a:lnTo>
                                <a:lnTo>
                                  <a:pt x="560971" y="372973"/>
                                </a:lnTo>
                                <a:lnTo>
                                  <a:pt x="373316" y="560654"/>
                                </a:lnTo>
                                <a:lnTo>
                                  <a:pt x="371182" y="565759"/>
                                </a:lnTo>
                                <a:lnTo>
                                  <a:pt x="371132" y="670852"/>
                                </a:lnTo>
                                <a:lnTo>
                                  <a:pt x="372694" y="678675"/>
                                </a:lnTo>
                                <a:lnTo>
                                  <a:pt x="376999" y="685076"/>
                                </a:lnTo>
                                <a:lnTo>
                                  <a:pt x="383387" y="689394"/>
                                </a:lnTo>
                                <a:lnTo>
                                  <a:pt x="391210" y="690994"/>
                                </a:lnTo>
                                <a:lnTo>
                                  <a:pt x="496023" y="691349"/>
                                </a:lnTo>
                                <a:lnTo>
                                  <a:pt x="501142" y="689241"/>
                                </a:lnTo>
                                <a:lnTo>
                                  <a:pt x="549440" y="640994"/>
                                </a:lnTo>
                                <a:lnTo>
                                  <a:pt x="686282" y="504075"/>
                                </a:lnTo>
                                <a:lnTo>
                                  <a:pt x="686892" y="502983"/>
                                </a:lnTo>
                                <a:lnTo>
                                  <a:pt x="687730" y="501726"/>
                                </a:lnTo>
                                <a:lnTo>
                                  <a:pt x="691388" y="421157"/>
                                </a:lnTo>
                                <a:lnTo>
                                  <a:pt x="691426" y="391045"/>
                                </a:lnTo>
                                <a:close/>
                              </a:path>
                            </a:pathLst>
                          </a:custGeom>
                          <a:solidFill>
                            <a:srgbClr val="939598"/>
                          </a:solidFill>
                        </wps:spPr>
                        <wps:bodyPr wrap="square" lIns="0" tIns="0" rIns="0" bIns="0" rtlCol="0">
                          <a:prstTxWarp prst="textNoShape">
                            <a:avLst/>
                          </a:prstTxWarp>
                          <a:noAutofit/>
                        </wps:bodyPr>
                      </wps:wsp>
                    </wpg:wgp>
                  </a:graphicData>
                </a:graphic>
              </wp:anchor>
            </w:drawing>
          </mc:Choice>
          <mc:Fallback>
            <w:pict>
              <v:group style="position:absolute;margin-left:151.068207pt;margin-top:-10.342239pt;width:54.45pt;height:54.45pt;mso-position-horizontal-relative:page;mso-position-vertical-relative:paragraph;z-index:15729664" id="docshapegroup3" coordorigin="3021,-207" coordsize="1089,1089">
                <v:shape style="position:absolute;left:3309;top:81;width:513;height:513" id="docshape4" coordorigin="3309,81" coordsize="513,513" path="m3565,81l3553,84,3543,91,3318,315,3311,326,3309,337,3311,349,3318,360,3543,584,3553,591,3565,594,3577,591,3588,584,3690,481,3565,481,3553,479,3543,472,3431,360,3424,349,3421,337,3424,326,3431,315,3543,203,3553,196,3565,194,3690,194,3588,91,3577,84,3565,81xm3690,194l3565,194,3577,196,3588,203,3700,315,3707,326,3709,337,3707,349,3700,360,3588,472,3577,479,3565,481,3690,481,3812,360,3819,349,3821,337,3819,326,3812,315,3690,194xe" filled="true" fillcolor="#902635" stroked="false">
                  <v:path arrowok="t"/>
                  <v:fill type="solid"/>
                </v:shape>
                <v:shape style="position:absolute;left:3021;top:-207;width:1089;height:1089" id="docshape5" coordorigin="3021,-207" coordsize="1089,1089" path="m3526,684l3523,676,3517,670,3447,600,3447,717,3447,802,3362,802,3354,799,3104,549,3101,541,3101,490,3104,477,3111,466,3121,459,3134,456,3186,456,3194,460,3443,709,3447,717,3447,600,3303,456,3227,380,3219,377,3053,377,3041,379,3031,386,3024,396,3021,409,3021,574,3025,582,3321,878,3329,881,3494,881,3507,879,3517,872,3524,862,3526,850,3526,802,3526,684xm3526,-175l3524,-187,3517,-197,3507,-204,3495,-207,3447,-207,3447,-94,3447,-40,3445,-35,3193,217,3189,219,3101,219,3101,131,3103,127,3356,-126,3360,-127,3413,-127,3427,-125,3437,-117,3444,-107,3447,-94,3447,-207,3329,-207,3321,-204,3031,87,3030,88,3029,90,3028,92,3026,95,3023,102,3022,106,3022,107,3022,109,3022,266,3024,278,3031,289,3041,295,3054,298,3219,298,3227,295,3303,219,3523,-1,3526,-9,3526,-127,3526,-175xm4109,101l4106,93,4030,17,4030,131,4030,185,4028,198,4020,209,4010,216,3997,219,3943,219,3939,217,3686,-36,3684,-40,3684,-127,3772,-127,3776,-125,4028,127,4030,131,4030,17,3886,-127,3810,-203,3802,-206,3637,-206,3625,-204,3615,-197,3608,-187,3605,-175,3605,-40,3605,-10,3608,-2,3904,295,3913,298,4078,298,4090,296,4100,289,4107,279,4109,266,4109,219,4109,101xm4110,409l4108,397,4101,387,4091,380,4079,377,4031,377,4031,456,4031,544,4029,548,3776,801,3772,803,3719,803,3705,800,3695,793,3688,782,3685,769,3685,715,3687,710,3939,458,3943,456,4031,456,4031,377,3913,377,3905,381,3609,676,3606,684,3606,850,3608,862,3615,872,3625,879,3637,881,3803,882,3811,879,3887,803,4102,587,4103,585,4104,583,4106,580,4109,573,4110,569,4110,568,4110,548,4110,456,4110,409xe" filled="true" fillcolor="#939598" stroked="false">
                  <v:path arrowok="t"/>
                  <v:fill type="solid"/>
                </v:shape>
                <w10:wrap type="none"/>
              </v:group>
            </w:pict>
          </mc:Fallback>
        </mc:AlternateContent>
      </w:r>
      <w:r>
        <w:rPr>
          <w:color w:val="231F20"/>
        </w:rPr>
        <w:t>XIAMEN</w:t>
      </w:r>
      <w:r>
        <w:rPr>
          <w:color w:val="231F20"/>
          <w:spacing w:val="46"/>
        </w:rPr>
        <w:t> </w:t>
      </w:r>
      <w:r>
        <w:rPr>
          <w:color w:val="231F20"/>
        </w:rPr>
        <w:t>JIHONG</w:t>
      </w:r>
      <w:r>
        <w:rPr>
          <w:color w:val="231F20"/>
          <w:spacing w:val="47"/>
        </w:rPr>
        <w:t> </w:t>
      </w:r>
      <w:r>
        <w:rPr>
          <w:color w:val="231F20"/>
        </w:rPr>
        <w:t>CO.,</w:t>
      </w:r>
      <w:r>
        <w:rPr>
          <w:color w:val="231F20"/>
          <w:spacing w:val="47"/>
        </w:rPr>
        <w:t> </w:t>
      </w:r>
      <w:r>
        <w:rPr>
          <w:color w:val="231F20"/>
          <w:spacing w:val="-5"/>
        </w:rPr>
        <w:t>LTD</w:t>
      </w:r>
    </w:p>
    <w:p>
      <w:pPr>
        <w:pStyle w:val="Heading2"/>
      </w:pPr>
      <w:r>
        <w:rPr>
          <w:color w:val="231F20"/>
          <w:spacing w:val="50"/>
        </w:rPr>
        <w:t>廈門吉宏科技股份有限公司</w:t>
      </w:r>
    </w:p>
    <w:p>
      <w:pPr>
        <w:spacing w:before="37"/>
        <w:ind w:left="685" w:right="681" w:firstLine="0"/>
        <w:jc w:val="center"/>
        <w:rPr>
          <w:i/>
          <w:sz w:val="18"/>
        </w:rPr>
      </w:pPr>
      <w:r>
        <w:rPr>
          <w:i/>
          <w:color w:val="231F20"/>
          <w:sz w:val="18"/>
        </w:rPr>
        <w:t>(a</w:t>
      </w:r>
      <w:r>
        <w:rPr>
          <w:i/>
          <w:color w:val="231F20"/>
          <w:spacing w:val="24"/>
          <w:sz w:val="18"/>
        </w:rPr>
        <w:t> </w:t>
      </w:r>
      <w:r>
        <w:rPr>
          <w:i/>
          <w:color w:val="231F20"/>
          <w:sz w:val="18"/>
        </w:rPr>
        <w:t>joint</w:t>
      </w:r>
      <w:r>
        <w:rPr>
          <w:i/>
          <w:color w:val="231F20"/>
          <w:spacing w:val="25"/>
          <w:sz w:val="18"/>
        </w:rPr>
        <w:t> </w:t>
      </w:r>
      <w:r>
        <w:rPr>
          <w:i/>
          <w:color w:val="231F20"/>
          <w:sz w:val="18"/>
        </w:rPr>
        <w:t>stock</w:t>
      </w:r>
      <w:r>
        <w:rPr>
          <w:i/>
          <w:color w:val="231F20"/>
          <w:spacing w:val="24"/>
          <w:sz w:val="18"/>
        </w:rPr>
        <w:t> </w:t>
      </w:r>
      <w:r>
        <w:rPr>
          <w:i/>
          <w:color w:val="231F20"/>
          <w:sz w:val="18"/>
        </w:rPr>
        <w:t>company</w:t>
      </w:r>
      <w:r>
        <w:rPr>
          <w:i/>
          <w:color w:val="231F20"/>
          <w:spacing w:val="25"/>
          <w:sz w:val="18"/>
        </w:rPr>
        <w:t> </w:t>
      </w:r>
      <w:r>
        <w:rPr>
          <w:i/>
          <w:color w:val="231F20"/>
          <w:sz w:val="18"/>
        </w:rPr>
        <w:t>incorporated</w:t>
      </w:r>
      <w:r>
        <w:rPr>
          <w:i/>
          <w:color w:val="231F20"/>
          <w:spacing w:val="25"/>
          <w:sz w:val="18"/>
        </w:rPr>
        <w:t> </w:t>
      </w:r>
      <w:r>
        <w:rPr>
          <w:i/>
          <w:color w:val="231F20"/>
          <w:sz w:val="18"/>
        </w:rPr>
        <w:t>in</w:t>
      </w:r>
      <w:r>
        <w:rPr>
          <w:i/>
          <w:color w:val="231F20"/>
          <w:spacing w:val="24"/>
          <w:sz w:val="18"/>
        </w:rPr>
        <w:t> </w:t>
      </w:r>
      <w:r>
        <w:rPr>
          <w:i/>
          <w:color w:val="231F20"/>
          <w:sz w:val="18"/>
        </w:rPr>
        <w:t>the</w:t>
      </w:r>
      <w:r>
        <w:rPr>
          <w:i/>
          <w:color w:val="231F20"/>
          <w:spacing w:val="25"/>
          <w:sz w:val="18"/>
        </w:rPr>
        <w:t> </w:t>
      </w:r>
      <w:r>
        <w:rPr>
          <w:i/>
          <w:color w:val="231F20"/>
          <w:sz w:val="18"/>
        </w:rPr>
        <w:t>People’s</w:t>
      </w:r>
      <w:r>
        <w:rPr>
          <w:i/>
          <w:color w:val="231F20"/>
          <w:spacing w:val="25"/>
          <w:sz w:val="18"/>
        </w:rPr>
        <w:t> </w:t>
      </w:r>
      <w:r>
        <w:rPr>
          <w:i/>
          <w:color w:val="231F20"/>
          <w:sz w:val="18"/>
        </w:rPr>
        <w:t>Republic</w:t>
      </w:r>
      <w:r>
        <w:rPr>
          <w:i/>
          <w:color w:val="231F20"/>
          <w:spacing w:val="24"/>
          <w:sz w:val="18"/>
        </w:rPr>
        <w:t> </w:t>
      </w:r>
      <w:r>
        <w:rPr>
          <w:i/>
          <w:color w:val="231F20"/>
          <w:sz w:val="18"/>
        </w:rPr>
        <w:t>of</w:t>
      </w:r>
      <w:r>
        <w:rPr>
          <w:i/>
          <w:color w:val="231F20"/>
          <w:spacing w:val="25"/>
          <w:sz w:val="18"/>
        </w:rPr>
        <w:t> </w:t>
      </w:r>
      <w:r>
        <w:rPr>
          <w:i/>
          <w:color w:val="231F20"/>
          <w:sz w:val="18"/>
        </w:rPr>
        <w:t>China</w:t>
      </w:r>
      <w:r>
        <w:rPr>
          <w:i/>
          <w:color w:val="231F20"/>
          <w:spacing w:val="25"/>
          <w:sz w:val="18"/>
        </w:rPr>
        <w:t> </w:t>
      </w:r>
      <w:r>
        <w:rPr>
          <w:i/>
          <w:color w:val="231F20"/>
          <w:sz w:val="18"/>
        </w:rPr>
        <w:t>with</w:t>
      </w:r>
      <w:r>
        <w:rPr>
          <w:i/>
          <w:color w:val="231F20"/>
          <w:spacing w:val="24"/>
          <w:sz w:val="18"/>
        </w:rPr>
        <w:t> </w:t>
      </w:r>
      <w:r>
        <w:rPr>
          <w:i/>
          <w:color w:val="231F20"/>
          <w:sz w:val="18"/>
        </w:rPr>
        <w:t>limited</w:t>
      </w:r>
      <w:r>
        <w:rPr>
          <w:i/>
          <w:color w:val="231F20"/>
          <w:spacing w:val="25"/>
          <w:sz w:val="18"/>
        </w:rPr>
        <w:t> </w:t>
      </w:r>
      <w:r>
        <w:rPr>
          <w:i/>
          <w:color w:val="231F20"/>
          <w:spacing w:val="-2"/>
          <w:sz w:val="18"/>
        </w:rPr>
        <w:t>liability)</w:t>
      </w:r>
    </w:p>
    <w:p>
      <w:pPr>
        <w:spacing w:before="57"/>
        <w:ind w:left="687" w:right="681" w:firstLine="0"/>
        <w:jc w:val="center"/>
        <w:rPr>
          <w:b/>
          <w:sz w:val="24"/>
        </w:rPr>
      </w:pPr>
      <w:r>
        <w:rPr>
          <w:b/>
          <w:color w:val="231F20"/>
          <w:sz w:val="24"/>
        </w:rPr>
        <w:t>(Stock</w:t>
      </w:r>
      <w:r>
        <w:rPr>
          <w:b/>
          <w:color w:val="231F20"/>
          <w:spacing w:val="32"/>
          <w:sz w:val="24"/>
        </w:rPr>
        <w:t> </w:t>
      </w:r>
      <w:r>
        <w:rPr>
          <w:b/>
          <w:color w:val="231F20"/>
          <w:sz w:val="24"/>
        </w:rPr>
        <w:t>Code:</w:t>
      </w:r>
      <w:r>
        <w:rPr>
          <w:b/>
          <w:color w:val="231F20"/>
          <w:spacing w:val="32"/>
          <w:sz w:val="24"/>
        </w:rPr>
        <w:t> </w:t>
      </w:r>
      <w:r>
        <w:rPr>
          <w:b/>
          <w:color w:val="231F20"/>
          <w:spacing w:val="-2"/>
          <w:sz w:val="24"/>
        </w:rPr>
        <w:t>2603)</w:t>
      </w:r>
    </w:p>
    <w:p>
      <w:pPr>
        <w:pStyle w:val="BodyText"/>
        <w:spacing w:before="208"/>
        <w:rPr>
          <w:b/>
          <w:sz w:val="24"/>
        </w:rPr>
      </w:pPr>
    </w:p>
    <w:p>
      <w:pPr>
        <w:pStyle w:val="ListParagraph"/>
        <w:numPr>
          <w:ilvl w:val="0"/>
          <w:numId w:val="1"/>
        </w:numPr>
        <w:tabs>
          <w:tab w:pos="820" w:val="left" w:leader="none"/>
        </w:tabs>
        <w:spacing w:line="240" w:lineRule="auto" w:before="0" w:after="0"/>
        <w:ind w:left="820" w:right="0" w:hanging="363"/>
        <w:jc w:val="left"/>
        <w:rPr>
          <w:b/>
          <w:sz w:val="24"/>
        </w:rPr>
      </w:pPr>
      <w:r>
        <w:rPr>
          <w:b/>
          <w:color w:val="231F20"/>
          <w:sz w:val="24"/>
        </w:rPr>
        <w:t>PROPOSED</w:t>
      </w:r>
      <w:r>
        <w:rPr>
          <w:b/>
          <w:color w:val="231F20"/>
          <w:spacing w:val="31"/>
          <w:sz w:val="24"/>
        </w:rPr>
        <w:t> </w:t>
      </w:r>
      <w:r>
        <w:rPr>
          <w:b/>
          <w:color w:val="231F20"/>
          <w:sz w:val="24"/>
        </w:rPr>
        <w:t>PROFIT</w:t>
      </w:r>
      <w:r>
        <w:rPr>
          <w:b/>
          <w:color w:val="231F20"/>
          <w:spacing w:val="32"/>
          <w:sz w:val="24"/>
        </w:rPr>
        <w:t> </w:t>
      </w:r>
      <w:r>
        <w:rPr>
          <w:b/>
          <w:color w:val="231F20"/>
          <w:sz w:val="24"/>
        </w:rPr>
        <w:t>DISTRIBUTION</w:t>
      </w:r>
      <w:r>
        <w:rPr>
          <w:b/>
          <w:color w:val="231F20"/>
          <w:spacing w:val="32"/>
          <w:sz w:val="24"/>
        </w:rPr>
        <w:t> </w:t>
      </w:r>
      <w:r>
        <w:rPr>
          <w:b/>
          <w:color w:val="231F20"/>
          <w:sz w:val="24"/>
        </w:rPr>
        <w:t>FOR</w:t>
      </w:r>
      <w:r>
        <w:rPr>
          <w:b/>
          <w:color w:val="231F20"/>
          <w:spacing w:val="33"/>
          <w:sz w:val="24"/>
        </w:rPr>
        <w:t> </w:t>
      </w:r>
      <w:r>
        <w:rPr>
          <w:b/>
          <w:color w:val="231F20"/>
          <w:sz w:val="24"/>
        </w:rPr>
        <w:t>THE</w:t>
      </w:r>
      <w:r>
        <w:rPr>
          <w:b/>
          <w:color w:val="231F20"/>
          <w:spacing w:val="32"/>
          <w:sz w:val="24"/>
        </w:rPr>
        <w:t> </w:t>
      </w:r>
      <w:r>
        <w:rPr>
          <w:b/>
          <w:color w:val="231F20"/>
          <w:sz w:val="24"/>
        </w:rPr>
        <w:t>FIRST</w:t>
      </w:r>
      <w:r>
        <w:rPr>
          <w:b/>
          <w:color w:val="231F20"/>
          <w:spacing w:val="33"/>
          <w:sz w:val="24"/>
        </w:rPr>
        <w:t> </w:t>
      </w:r>
      <w:r>
        <w:rPr>
          <w:b/>
          <w:color w:val="231F20"/>
          <w:sz w:val="24"/>
        </w:rPr>
        <w:t>HALF</w:t>
      </w:r>
      <w:r>
        <w:rPr>
          <w:b/>
          <w:color w:val="231F20"/>
          <w:spacing w:val="32"/>
          <w:sz w:val="24"/>
        </w:rPr>
        <w:t> </w:t>
      </w:r>
      <w:r>
        <w:rPr>
          <w:b/>
          <w:color w:val="231F20"/>
          <w:sz w:val="24"/>
        </w:rPr>
        <w:t>OF</w:t>
      </w:r>
      <w:r>
        <w:rPr>
          <w:b/>
          <w:color w:val="231F20"/>
          <w:spacing w:val="32"/>
          <w:sz w:val="24"/>
        </w:rPr>
        <w:t> </w:t>
      </w:r>
      <w:r>
        <w:rPr>
          <w:b/>
          <w:color w:val="231F20"/>
          <w:spacing w:val="-2"/>
          <w:sz w:val="24"/>
        </w:rPr>
        <w:t>2025;</w:t>
      </w:r>
    </w:p>
    <w:p>
      <w:pPr>
        <w:pStyle w:val="ListParagraph"/>
        <w:numPr>
          <w:ilvl w:val="0"/>
          <w:numId w:val="1"/>
        </w:numPr>
        <w:tabs>
          <w:tab w:pos="581" w:val="left" w:leader="none"/>
          <w:tab w:pos="2845" w:val="left" w:leader="none"/>
        </w:tabs>
        <w:spacing w:line="295" w:lineRule="auto" w:before="64" w:after="0"/>
        <w:ind w:left="2845" w:right="211" w:hanging="2627"/>
        <w:jc w:val="left"/>
        <w:rPr>
          <w:b/>
          <w:sz w:val="24"/>
        </w:rPr>
      </w:pPr>
      <w:r>
        <w:rPr>
          <w:b/>
          <w:color w:val="231F20"/>
          <w:sz w:val="24"/>
        </w:rPr>
        <w:t>PROPOSED ADJUSTMENT TO THE ESTIMATED GUARANTEE </w:t>
      </w:r>
      <w:r>
        <w:rPr>
          <w:b/>
          <w:color w:val="231F20"/>
          <w:sz w:val="24"/>
        </w:rPr>
        <w:t>AMOUNT</w:t>
      </w:r>
      <w:r>
        <w:rPr>
          <w:b/>
          <w:color w:val="231F20"/>
          <w:spacing w:val="80"/>
          <w:w w:val="150"/>
          <w:sz w:val="24"/>
        </w:rPr>
        <w:t> </w:t>
      </w:r>
      <w:r>
        <w:rPr>
          <w:b/>
          <w:color w:val="231F20"/>
          <w:sz w:val="24"/>
        </w:rPr>
        <w:t>PROVIDED TO SUBSIDIARIES;</w:t>
      </w:r>
    </w:p>
    <w:p>
      <w:pPr>
        <w:pStyle w:val="ListParagraph"/>
        <w:numPr>
          <w:ilvl w:val="0"/>
          <w:numId w:val="1"/>
        </w:numPr>
        <w:tabs>
          <w:tab w:pos="516" w:val="left" w:leader="none"/>
          <w:tab w:pos="2049" w:val="left" w:leader="none"/>
        </w:tabs>
        <w:spacing w:line="295" w:lineRule="auto" w:before="2" w:after="0"/>
        <w:ind w:left="2049" w:right="144" w:hanging="1896"/>
        <w:jc w:val="left"/>
        <w:rPr>
          <w:b/>
          <w:sz w:val="24"/>
        </w:rPr>
      </w:pPr>
      <w:r>
        <w:rPr>
          <w:b/>
          <w:color w:val="231F20"/>
          <w:sz w:val="24"/>
        </w:rPr>
        <w:t>PROPOSED ADJUSTMENT TO THE LIMIT FOR WEALTH </w:t>
      </w:r>
      <w:r>
        <w:rPr>
          <w:b/>
          <w:color w:val="231F20"/>
          <w:sz w:val="24"/>
        </w:rPr>
        <w:t>MANAGEMENT</w:t>
      </w:r>
      <w:r>
        <w:rPr>
          <w:b/>
          <w:color w:val="231F20"/>
          <w:spacing w:val="80"/>
          <w:w w:val="150"/>
          <w:sz w:val="24"/>
        </w:rPr>
        <w:t> </w:t>
      </w:r>
      <w:r>
        <w:rPr>
          <w:b/>
          <w:color w:val="231F20"/>
          <w:sz w:val="24"/>
        </w:rPr>
        <w:t>PRODUCTS</w:t>
      </w:r>
      <w:r>
        <w:rPr>
          <w:b/>
          <w:color w:val="231F20"/>
          <w:spacing w:val="40"/>
          <w:sz w:val="24"/>
        </w:rPr>
        <w:t> </w:t>
      </w:r>
      <w:r>
        <w:rPr>
          <w:b/>
          <w:color w:val="231F20"/>
          <w:sz w:val="24"/>
        </w:rPr>
        <w:t>USING</w:t>
      </w:r>
      <w:r>
        <w:rPr>
          <w:b/>
          <w:color w:val="231F20"/>
          <w:spacing w:val="40"/>
          <w:sz w:val="24"/>
        </w:rPr>
        <w:t> </w:t>
      </w:r>
      <w:r>
        <w:rPr>
          <w:b/>
          <w:color w:val="231F20"/>
          <w:sz w:val="24"/>
        </w:rPr>
        <w:t>INTERNAL</w:t>
      </w:r>
      <w:r>
        <w:rPr>
          <w:b/>
          <w:color w:val="231F20"/>
          <w:spacing w:val="40"/>
          <w:sz w:val="24"/>
        </w:rPr>
        <w:t> </w:t>
      </w:r>
      <w:r>
        <w:rPr>
          <w:b/>
          <w:color w:val="231F20"/>
          <w:sz w:val="24"/>
        </w:rPr>
        <w:t>IDLE</w:t>
      </w:r>
      <w:r>
        <w:rPr>
          <w:b/>
          <w:color w:val="231F20"/>
          <w:spacing w:val="40"/>
          <w:sz w:val="24"/>
        </w:rPr>
        <w:t> </w:t>
      </w:r>
      <w:r>
        <w:rPr>
          <w:b/>
          <w:color w:val="231F20"/>
          <w:sz w:val="24"/>
        </w:rPr>
        <w:t>FUNDS;</w:t>
      </w:r>
    </w:p>
    <w:p>
      <w:pPr>
        <w:spacing w:before="1"/>
        <w:ind w:left="4411" w:right="0" w:firstLine="0"/>
        <w:jc w:val="left"/>
        <w:rPr>
          <w:b/>
          <w:sz w:val="24"/>
        </w:rPr>
      </w:pPr>
      <w:r>
        <w:rPr>
          <w:b/>
          <w:color w:val="231F20"/>
          <w:spacing w:val="-5"/>
          <w:sz w:val="24"/>
        </w:rPr>
        <w:t>AND</w:t>
      </w:r>
    </w:p>
    <w:p>
      <w:pPr>
        <w:pStyle w:val="ListParagraph"/>
        <w:numPr>
          <w:ilvl w:val="0"/>
          <w:numId w:val="1"/>
        </w:numPr>
        <w:tabs>
          <w:tab w:pos="895" w:val="left" w:leader="none"/>
        </w:tabs>
        <w:spacing w:line="240" w:lineRule="auto" w:before="64" w:after="0"/>
        <w:ind w:left="895" w:right="0" w:hanging="363"/>
        <w:jc w:val="left"/>
        <w:rPr>
          <w:b/>
          <w:sz w:val="24"/>
        </w:rPr>
      </w:pPr>
      <w:r>
        <w:rPr>
          <w:b/>
          <w:color w:val="231F20"/>
          <w:sz w:val="24"/>
        </w:rPr>
        <w:t>NOTICE</w:t>
      </w:r>
      <w:r>
        <w:rPr>
          <w:b/>
          <w:color w:val="231F20"/>
          <w:spacing w:val="36"/>
          <w:sz w:val="24"/>
        </w:rPr>
        <w:t> </w:t>
      </w:r>
      <w:r>
        <w:rPr>
          <w:b/>
          <w:color w:val="231F20"/>
          <w:sz w:val="24"/>
        </w:rPr>
        <w:t>OF</w:t>
      </w:r>
      <w:r>
        <w:rPr>
          <w:b/>
          <w:color w:val="231F20"/>
          <w:spacing w:val="37"/>
          <w:sz w:val="24"/>
        </w:rPr>
        <w:t> </w:t>
      </w:r>
      <w:r>
        <w:rPr>
          <w:b/>
          <w:color w:val="231F20"/>
          <w:sz w:val="24"/>
        </w:rPr>
        <w:t>2025</w:t>
      </w:r>
      <w:r>
        <w:rPr>
          <w:b/>
          <w:color w:val="231F20"/>
          <w:spacing w:val="37"/>
          <w:sz w:val="24"/>
        </w:rPr>
        <w:t> </w:t>
      </w:r>
      <w:r>
        <w:rPr>
          <w:b/>
          <w:color w:val="231F20"/>
          <w:sz w:val="24"/>
        </w:rPr>
        <w:t>SECOND</w:t>
      </w:r>
      <w:r>
        <w:rPr>
          <w:b/>
          <w:color w:val="231F20"/>
          <w:spacing w:val="37"/>
          <w:sz w:val="24"/>
        </w:rPr>
        <w:t> </w:t>
      </w:r>
      <w:r>
        <w:rPr>
          <w:b/>
          <w:color w:val="231F20"/>
          <w:sz w:val="24"/>
        </w:rPr>
        <w:t>EXTRAORDINARY</w:t>
      </w:r>
      <w:r>
        <w:rPr>
          <w:b/>
          <w:color w:val="231F20"/>
          <w:spacing w:val="38"/>
          <w:sz w:val="24"/>
        </w:rPr>
        <w:t> </w:t>
      </w:r>
      <w:r>
        <w:rPr>
          <w:b/>
          <w:color w:val="231F20"/>
          <w:sz w:val="24"/>
        </w:rPr>
        <w:t>GENERAL</w:t>
      </w:r>
      <w:r>
        <w:rPr>
          <w:b/>
          <w:color w:val="231F20"/>
          <w:spacing w:val="37"/>
          <w:sz w:val="24"/>
        </w:rPr>
        <w:t> </w:t>
      </w:r>
      <w:r>
        <w:rPr>
          <w:b/>
          <w:color w:val="231F20"/>
          <w:spacing w:val="-2"/>
          <w:sz w:val="24"/>
        </w:rPr>
        <w:t>MEETING</w:t>
      </w:r>
    </w:p>
    <w:p>
      <w:pPr>
        <w:pStyle w:val="BodyText"/>
        <w:rPr>
          <w:b/>
        </w:rPr>
      </w:pPr>
    </w:p>
    <w:p>
      <w:pPr>
        <w:pStyle w:val="BodyText"/>
        <w:spacing w:before="107"/>
        <w:rPr>
          <w:b/>
        </w:rPr>
      </w:pPr>
      <w:r>
        <w:rPr>
          <w:b/>
        </w:rPr>
        <mc:AlternateContent>
          <mc:Choice Requires="wps">
            <w:drawing>
              <wp:anchor distT="0" distB="0" distL="0" distR="0" allowOverlap="1" layoutInCell="1" locked="0" behindDoc="1" simplePos="0" relativeHeight="487588352">
                <wp:simplePos x="0" y="0"/>
                <wp:positionH relativeFrom="page">
                  <wp:posOffset>899999</wp:posOffset>
                </wp:positionH>
                <wp:positionV relativeFrom="paragraph">
                  <wp:posOffset>229439</wp:posOffset>
                </wp:positionV>
                <wp:extent cx="5760085" cy="1270"/>
                <wp:effectExtent l="0" t="0" r="0" b="0"/>
                <wp:wrapTopAndBottom/>
                <wp:docPr id="8" name="Graphic 8"/>
                <wp:cNvGraphicFramePr>
                  <a:graphicFrameLocks/>
                </wp:cNvGraphicFramePr>
                <a:graphic>
                  <a:graphicData uri="http://schemas.microsoft.com/office/word/2010/wordprocessingShape">
                    <wps:wsp>
                      <wps:cNvPr id="8" name="Graphic 8"/>
                      <wps:cNvSpPr/>
                      <wps:spPr>
                        <a:xfrm>
                          <a:off x="0" y="0"/>
                          <a:ext cx="5760085" cy="1270"/>
                        </a:xfrm>
                        <a:custGeom>
                          <a:avLst/>
                          <a:gdLst/>
                          <a:ahLst/>
                          <a:cxnLst/>
                          <a:rect l="l" t="t" r="r" b="b"/>
                          <a:pathLst>
                            <a:path w="5760085" h="0">
                              <a:moveTo>
                                <a:pt x="0" y="0"/>
                              </a:moveTo>
                              <a:lnTo>
                                <a:pt x="5759996"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70.866096pt;margin-top:18.066093pt;width:453.55pt;height:.1pt;mso-position-horizontal-relative:page;mso-position-vertical-relative:paragraph;z-index:-15728128;mso-wrap-distance-left:0;mso-wrap-distance-right:0" id="docshape6" coordorigin="1417,361" coordsize="9071,0" path="m1417,361l10488,361e" filled="false" stroked="true" strokeweight=".5pt" strokecolor="#231f20">
                <v:path arrowok="t"/>
                <v:stroke dashstyle="solid"/>
                <w10:wrap type="topAndBottom"/>
              </v:shape>
            </w:pict>
          </mc:Fallback>
        </mc:AlternateContent>
      </w:r>
    </w:p>
    <w:p>
      <w:pPr>
        <w:pStyle w:val="BodyText"/>
        <w:rPr>
          <w:b/>
        </w:rPr>
      </w:pPr>
    </w:p>
    <w:p>
      <w:pPr>
        <w:pStyle w:val="BodyText"/>
        <w:spacing w:before="46"/>
        <w:rPr>
          <w:b/>
        </w:rPr>
      </w:pPr>
    </w:p>
    <w:p>
      <w:pPr>
        <w:pStyle w:val="BodyText"/>
        <w:spacing w:line="292" w:lineRule="auto"/>
        <w:ind w:left="142" w:right="131"/>
        <w:jc w:val="both"/>
      </w:pPr>
      <w:r>
        <w:rPr>
          <w:color w:val="231F20"/>
        </w:rPr>
        <w:t>The 2025 Second EGM will be held at 38th Floor, Yuzhou Plaza, No. 55, Hubin South Road, Siming District, Xiamen,</w:t>
      </w:r>
      <w:r>
        <w:rPr>
          <w:color w:val="231F20"/>
          <w:spacing w:val="40"/>
        </w:rPr>
        <w:t> </w:t>
      </w:r>
      <w:r>
        <w:rPr>
          <w:color w:val="231F20"/>
        </w:rPr>
        <w:t>the</w:t>
      </w:r>
      <w:r>
        <w:rPr>
          <w:color w:val="231F20"/>
          <w:spacing w:val="40"/>
        </w:rPr>
        <w:t> </w:t>
      </w:r>
      <w:r>
        <w:rPr>
          <w:color w:val="231F20"/>
        </w:rPr>
        <w:t>PRC</w:t>
      </w:r>
      <w:r>
        <w:rPr>
          <w:color w:val="231F20"/>
          <w:spacing w:val="40"/>
        </w:rPr>
        <w:t> </w:t>
      </w:r>
      <w:r>
        <w:rPr>
          <w:color w:val="231F20"/>
        </w:rPr>
        <w:t>at</w:t>
      </w:r>
      <w:r>
        <w:rPr>
          <w:color w:val="231F20"/>
          <w:spacing w:val="40"/>
        </w:rPr>
        <w:t> </w:t>
      </w:r>
      <w:r>
        <w:rPr>
          <w:color w:val="231F20"/>
        </w:rPr>
        <w:t>2:30</w:t>
      </w:r>
      <w:r>
        <w:rPr>
          <w:color w:val="231F20"/>
          <w:spacing w:val="40"/>
        </w:rPr>
        <w:t> </w:t>
      </w:r>
      <w:r>
        <w:rPr>
          <w:color w:val="231F20"/>
        </w:rPr>
        <w:t>p.m.</w:t>
      </w:r>
      <w:r>
        <w:rPr>
          <w:color w:val="231F20"/>
          <w:spacing w:val="40"/>
        </w:rPr>
        <w:t> </w:t>
      </w:r>
      <w:r>
        <w:rPr>
          <w:color w:val="231F20"/>
        </w:rPr>
        <w:t>on</w:t>
      </w:r>
      <w:r>
        <w:rPr>
          <w:color w:val="231F20"/>
          <w:spacing w:val="40"/>
        </w:rPr>
        <w:t> </w:t>
      </w:r>
      <w:r>
        <w:rPr>
          <w:color w:val="231F20"/>
        </w:rPr>
        <w:t>Monday,</w:t>
      </w:r>
      <w:r>
        <w:rPr>
          <w:color w:val="231F20"/>
          <w:spacing w:val="40"/>
        </w:rPr>
        <w:t> </w:t>
      </w:r>
      <w:r>
        <w:rPr>
          <w:color w:val="231F20"/>
        </w:rPr>
        <w:t>September</w:t>
      </w:r>
      <w:r>
        <w:rPr>
          <w:color w:val="231F20"/>
          <w:spacing w:val="40"/>
        </w:rPr>
        <w:t> </w:t>
      </w:r>
      <w:r>
        <w:rPr>
          <w:color w:val="231F20"/>
        </w:rPr>
        <w:t>8,</w:t>
      </w:r>
      <w:r>
        <w:rPr>
          <w:color w:val="231F20"/>
          <w:spacing w:val="40"/>
        </w:rPr>
        <w:t> </w:t>
      </w:r>
      <w:r>
        <w:rPr>
          <w:color w:val="231F20"/>
        </w:rPr>
        <w:t>2025.</w:t>
      </w:r>
      <w:r>
        <w:rPr>
          <w:color w:val="231F20"/>
          <w:spacing w:val="40"/>
        </w:rPr>
        <w:t> </w:t>
      </w:r>
      <w:r>
        <w:rPr>
          <w:color w:val="231F20"/>
        </w:rPr>
        <w:t>Notice</w:t>
      </w:r>
      <w:r>
        <w:rPr>
          <w:color w:val="231F20"/>
          <w:spacing w:val="40"/>
        </w:rPr>
        <w:t> </w:t>
      </w:r>
      <w:r>
        <w:rPr>
          <w:color w:val="231F20"/>
        </w:rPr>
        <w:t>convening</w:t>
      </w:r>
      <w:r>
        <w:rPr>
          <w:color w:val="231F20"/>
          <w:spacing w:val="40"/>
        </w:rPr>
        <w:t> </w:t>
      </w:r>
      <w:r>
        <w:rPr>
          <w:color w:val="231F20"/>
        </w:rPr>
        <w:t>the</w:t>
      </w:r>
      <w:r>
        <w:rPr>
          <w:color w:val="231F20"/>
          <w:spacing w:val="40"/>
        </w:rPr>
        <w:t> </w:t>
      </w:r>
      <w:r>
        <w:rPr>
          <w:color w:val="231F20"/>
        </w:rPr>
        <w:t>2025</w:t>
      </w:r>
      <w:r>
        <w:rPr>
          <w:color w:val="231F20"/>
          <w:spacing w:val="40"/>
        </w:rPr>
        <w:t> </w:t>
      </w:r>
      <w:r>
        <w:rPr>
          <w:color w:val="231F20"/>
        </w:rPr>
        <w:t>Second</w:t>
      </w:r>
      <w:r>
        <w:rPr>
          <w:color w:val="231F20"/>
          <w:spacing w:val="40"/>
        </w:rPr>
        <w:t> </w:t>
      </w:r>
      <w:r>
        <w:rPr>
          <w:color w:val="231F20"/>
        </w:rPr>
        <w:t>EGM is</w:t>
      </w:r>
      <w:r>
        <w:rPr>
          <w:color w:val="231F20"/>
          <w:spacing w:val="26"/>
        </w:rPr>
        <w:t> </w:t>
      </w:r>
      <w:r>
        <w:rPr>
          <w:color w:val="231F20"/>
        </w:rPr>
        <w:t>set</w:t>
      </w:r>
      <w:r>
        <w:rPr>
          <w:color w:val="231F20"/>
          <w:spacing w:val="26"/>
        </w:rPr>
        <w:t> </w:t>
      </w:r>
      <w:r>
        <w:rPr>
          <w:color w:val="231F20"/>
        </w:rPr>
        <w:t>out</w:t>
      </w:r>
      <w:r>
        <w:rPr>
          <w:color w:val="231F20"/>
          <w:spacing w:val="26"/>
        </w:rPr>
        <w:t> </w:t>
      </w:r>
      <w:r>
        <w:rPr>
          <w:color w:val="231F20"/>
        </w:rPr>
        <w:t>on</w:t>
      </w:r>
      <w:r>
        <w:rPr>
          <w:color w:val="231F20"/>
          <w:spacing w:val="26"/>
        </w:rPr>
        <w:t> </w:t>
      </w:r>
      <w:r>
        <w:rPr>
          <w:color w:val="231F20"/>
        </w:rPr>
        <w:t>pages</w:t>
      </w:r>
      <w:r>
        <w:rPr>
          <w:color w:val="231F20"/>
          <w:spacing w:val="26"/>
        </w:rPr>
        <w:t> </w:t>
      </w:r>
      <w:r>
        <w:rPr>
          <w:color w:val="231F20"/>
        </w:rPr>
        <w:t>EGM-1</w:t>
      </w:r>
      <w:r>
        <w:rPr>
          <w:color w:val="231F20"/>
          <w:spacing w:val="26"/>
        </w:rPr>
        <w:t> </w:t>
      </w:r>
      <w:r>
        <w:rPr>
          <w:color w:val="231F20"/>
        </w:rPr>
        <w:t>to</w:t>
      </w:r>
      <w:r>
        <w:rPr>
          <w:color w:val="231F20"/>
          <w:spacing w:val="26"/>
        </w:rPr>
        <w:t> </w:t>
      </w:r>
      <w:r>
        <w:rPr>
          <w:color w:val="231F20"/>
        </w:rPr>
        <w:t>EGM-2</w:t>
      </w:r>
      <w:r>
        <w:rPr>
          <w:color w:val="231F20"/>
          <w:spacing w:val="26"/>
        </w:rPr>
        <w:t> </w:t>
      </w:r>
      <w:r>
        <w:rPr>
          <w:color w:val="231F20"/>
        </w:rPr>
        <w:t>of</w:t>
      </w:r>
      <w:r>
        <w:rPr>
          <w:color w:val="231F20"/>
          <w:spacing w:val="26"/>
        </w:rPr>
        <w:t> </w:t>
      </w:r>
      <w:r>
        <w:rPr>
          <w:color w:val="231F20"/>
        </w:rPr>
        <w:t>this</w:t>
      </w:r>
      <w:r>
        <w:rPr>
          <w:color w:val="231F20"/>
          <w:spacing w:val="26"/>
        </w:rPr>
        <w:t> </w:t>
      </w:r>
      <w:r>
        <w:rPr>
          <w:color w:val="231F20"/>
        </w:rPr>
        <w:t>circular.</w:t>
      </w:r>
      <w:r>
        <w:rPr>
          <w:color w:val="231F20"/>
          <w:spacing w:val="26"/>
        </w:rPr>
        <w:t> </w:t>
      </w:r>
      <w:r>
        <w:rPr>
          <w:color w:val="231F20"/>
        </w:rPr>
        <w:t>Proxy</w:t>
      </w:r>
      <w:r>
        <w:rPr>
          <w:color w:val="231F20"/>
          <w:spacing w:val="26"/>
        </w:rPr>
        <w:t> </w:t>
      </w:r>
      <w:r>
        <w:rPr>
          <w:color w:val="231F20"/>
        </w:rPr>
        <w:t>form</w:t>
      </w:r>
      <w:r>
        <w:rPr>
          <w:color w:val="231F20"/>
          <w:spacing w:val="26"/>
        </w:rPr>
        <w:t> </w:t>
      </w:r>
      <w:r>
        <w:rPr>
          <w:color w:val="231F20"/>
        </w:rPr>
        <w:t>for</w:t>
      </w:r>
      <w:r>
        <w:rPr>
          <w:color w:val="231F20"/>
          <w:spacing w:val="26"/>
        </w:rPr>
        <w:t> </w:t>
      </w:r>
      <w:r>
        <w:rPr>
          <w:color w:val="231F20"/>
        </w:rPr>
        <w:t>the</w:t>
      </w:r>
      <w:r>
        <w:rPr>
          <w:color w:val="231F20"/>
          <w:spacing w:val="26"/>
        </w:rPr>
        <w:t> </w:t>
      </w:r>
      <w:r>
        <w:rPr>
          <w:color w:val="231F20"/>
        </w:rPr>
        <w:t>2025</w:t>
      </w:r>
      <w:r>
        <w:rPr>
          <w:color w:val="231F20"/>
          <w:spacing w:val="26"/>
        </w:rPr>
        <w:t> </w:t>
      </w:r>
      <w:r>
        <w:rPr>
          <w:color w:val="231F20"/>
        </w:rPr>
        <w:t>Second</w:t>
      </w:r>
      <w:r>
        <w:rPr>
          <w:color w:val="231F20"/>
          <w:spacing w:val="26"/>
        </w:rPr>
        <w:t> </w:t>
      </w:r>
      <w:r>
        <w:rPr>
          <w:color w:val="231F20"/>
        </w:rPr>
        <w:t>EGM</w:t>
      </w:r>
      <w:r>
        <w:rPr>
          <w:color w:val="231F20"/>
          <w:spacing w:val="26"/>
        </w:rPr>
        <w:t> </w:t>
      </w:r>
      <w:r>
        <w:rPr>
          <w:color w:val="231F20"/>
        </w:rPr>
        <w:t>is</w:t>
      </w:r>
      <w:r>
        <w:rPr>
          <w:color w:val="231F20"/>
          <w:spacing w:val="26"/>
        </w:rPr>
        <w:t> </w:t>
      </w:r>
      <w:r>
        <w:rPr>
          <w:color w:val="231F20"/>
        </w:rPr>
        <w:t>enclosed</w:t>
      </w:r>
      <w:r>
        <w:rPr>
          <w:color w:val="231F20"/>
          <w:spacing w:val="26"/>
        </w:rPr>
        <w:t> </w:t>
      </w:r>
      <w:r>
        <w:rPr>
          <w:color w:val="231F20"/>
        </w:rPr>
        <w:t>in this circular and published on the websites of the Stock Exchange (</w:t>
      </w:r>
      <w:hyperlink r:id="rId6">
        <w:r>
          <w:rPr>
            <w:color w:val="231F20"/>
          </w:rPr>
          <w:t>www.hkexnews.hk)</w:t>
        </w:r>
      </w:hyperlink>
      <w:r>
        <w:rPr>
          <w:color w:val="231F20"/>
        </w:rPr>
        <w:t> and the Company (https://</w:t>
      </w:r>
      <w:hyperlink r:id="rId7">
        <w:r>
          <w:rPr>
            <w:color w:val="231F20"/>
          </w:rPr>
          <w:t>www.jihong.cn).</w:t>
        </w:r>
      </w:hyperlink>
      <w:r>
        <w:rPr>
          <w:color w:val="231F20"/>
          <w:spacing w:val="40"/>
        </w:rPr>
        <w:t> </w:t>
      </w:r>
      <w:r>
        <w:rPr>
          <w:color w:val="231F20"/>
        </w:rPr>
        <w:t>Shareholders</w:t>
      </w:r>
      <w:r>
        <w:rPr>
          <w:color w:val="231F20"/>
          <w:spacing w:val="40"/>
        </w:rPr>
        <w:t> </w:t>
      </w:r>
      <w:r>
        <w:rPr>
          <w:color w:val="231F20"/>
        </w:rPr>
        <w:t>who</w:t>
      </w:r>
      <w:r>
        <w:rPr>
          <w:color w:val="231F20"/>
          <w:spacing w:val="40"/>
        </w:rPr>
        <w:t> </w:t>
      </w:r>
      <w:r>
        <w:rPr>
          <w:color w:val="231F20"/>
        </w:rPr>
        <w:t>are</w:t>
      </w:r>
      <w:r>
        <w:rPr>
          <w:color w:val="231F20"/>
          <w:spacing w:val="40"/>
        </w:rPr>
        <w:t> </w:t>
      </w:r>
      <w:r>
        <w:rPr>
          <w:color w:val="231F20"/>
        </w:rPr>
        <w:t>eligible</w:t>
      </w:r>
      <w:r>
        <w:rPr>
          <w:color w:val="231F20"/>
          <w:spacing w:val="40"/>
        </w:rPr>
        <w:t> </w:t>
      </w:r>
      <w:r>
        <w:rPr>
          <w:color w:val="231F20"/>
        </w:rPr>
        <w:t>to</w:t>
      </w:r>
      <w:r>
        <w:rPr>
          <w:color w:val="231F20"/>
          <w:spacing w:val="40"/>
        </w:rPr>
        <w:t> </w:t>
      </w:r>
      <w:r>
        <w:rPr>
          <w:color w:val="231F20"/>
        </w:rPr>
        <w:t>attend</w:t>
      </w:r>
      <w:r>
        <w:rPr>
          <w:color w:val="231F20"/>
          <w:spacing w:val="40"/>
        </w:rPr>
        <w:t> </w:t>
      </w:r>
      <w:r>
        <w:rPr>
          <w:color w:val="231F20"/>
        </w:rPr>
        <w:t>and</w:t>
      </w:r>
      <w:r>
        <w:rPr>
          <w:color w:val="231F20"/>
          <w:spacing w:val="40"/>
        </w:rPr>
        <w:t> </w:t>
      </w:r>
      <w:r>
        <w:rPr>
          <w:color w:val="231F20"/>
        </w:rPr>
        <w:t>intend</w:t>
      </w:r>
      <w:r>
        <w:rPr>
          <w:color w:val="231F20"/>
          <w:spacing w:val="40"/>
        </w:rPr>
        <w:t> </w:t>
      </w:r>
      <w:r>
        <w:rPr>
          <w:color w:val="231F20"/>
        </w:rPr>
        <w:t>to</w:t>
      </w:r>
      <w:r>
        <w:rPr>
          <w:color w:val="231F20"/>
          <w:spacing w:val="40"/>
        </w:rPr>
        <w:t> </w:t>
      </w:r>
      <w:r>
        <w:rPr>
          <w:color w:val="231F20"/>
        </w:rPr>
        <w:t>appoint</w:t>
      </w:r>
      <w:r>
        <w:rPr>
          <w:color w:val="231F20"/>
          <w:spacing w:val="40"/>
        </w:rPr>
        <w:t> </w:t>
      </w:r>
      <w:r>
        <w:rPr>
          <w:color w:val="231F20"/>
        </w:rPr>
        <w:t>a</w:t>
      </w:r>
      <w:r>
        <w:rPr>
          <w:color w:val="231F20"/>
          <w:spacing w:val="40"/>
        </w:rPr>
        <w:t> </w:t>
      </w:r>
      <w:r>
        <w:rPr>
          <w:color w:val="231F20"/>
        </w:rPr>
        <w:t>proxy</w:t>
      </w:r>
      <w:r>
        <w:rPr>
          <w:color w:val="231F20"/>
          <w:spacing w:val="40"/>
        </w:rPr>
        <w:t> </w:t>
      </w:r>
      <w:r>
        <w:rPr>
          <w:color w:val="231F20"/>
        </w:rPr>
        <w:t>to</w:t>
      </w:r>
      <w:r>
        <w:rPr>
          <w:color w:val="231F20"/>
          <w:spacing w:val="40"/>
        </w:rPr>
        <w:t> </w:t>
      </w:r>
      <w:r>
        <w:rPr>
          <w:color w:val="231F20"/>
        </w:rPr>
        <w:t>attend the 2025 Second EGM shall complete and return the accompanying proxy form in accordance with the instructions printed thereon to the H share registrar of the Company, Computershare Hong Kong Investor Services</w:t>
      </w:r>
      <w:r>
        <w:rPr>
          <w:color w:val="231F20"/>
          <w:spacing w:val="39"/>
        </w:rPr>
        <w:t> </w:t>
      </w:r>
      <w:r>
        <w:rPr>
          <w:color w:val="231F20"/>
        </w:rPr>
        <w:t>Limited,</w:t>
      </w:r>
      <w:r>
        <w:rPr>
          <w:color w:val="231F20"/>
          <w:spacing w:val="39"/>
        </w:rPr>
        <w:t> </w:t>
      </w:r>
      <w:r>
        <w:rPr>
          <w:color w:val="231F20"/>
        </w:rPr>
        <w:t>at</w:t>
      </w:r>
      <w:r>
        <w:rPr>
          <w:color w:val="231F20"/>
          <w:spacing w:val="39"/>
        </w:rPr>
        <w:t> </w:t>
      </w:r>
      <w:r>
        <w:rPr>
          <w:color w:val="231F20"/>
        </w:rPr>
        <w:t>17M</w:t>
      </w:r>
      <w:r>
        <w:rPr>
          <w:color w:val="231F20"/>
          <w:spacing w:val="39"/>
        </w:rPr>
        <w:t> </w:t>
      </w:r>
      <w:r>
        <w:rPr>
          <w:color w:val="231F20"/>
        </w:rPr>
        <w:t>Floor,</w:t>
      </w:r>
      <w:r>
        <w:rPr>
          <w:color w:val="231F20"/>
          <w:spacing w:val="39"/>
        </w:rPr>
        <w:t> </w:t>
      </w:r>
      <w:r>
        <w:rPr>
          <w:color w:val="231F20"/>
        </w:rPr>
        <w:t>Hopewell</w:t>
      </w:r>
      <w:r>
        <w:rPr>
          <w:color w:val="231F20"/>
          <w:spacing w:val="39"/>
        </w:rPr>
        <w:t> </w:t>
      </w:r>
      <w:r>
        <w:rPr>
          <w:color w:val="231F20"/>
        </w:rPr>
        <w:t>Centre,</w:t>
      </w:r>
      <w:r>
        <w:rPr>
          <w:color w:val="231F20"/>
          <w:spacing w:val="39"/>
        </w:rPr>
        <w:t> </w:t>
      </w:r>
      <w:r>
        <w:rPr>
          <w:color w:val="231F20"/>
        </w:rPr>
        <w:t>183</w:t>
      </w:r>
      <w:r>
        <w:rPr>
          <w:color w:val="231F20"/>
          <w:spacing w:val="39"/>
        </w:rPr>
        <w:t> </w:t>
      </w:r>
      <w:r>
        <w:rPr>
          <w:color w:val="231F20"/>
        </w:rPr>
        <w:t>Queen’s</w:t>
      </w:r>
      <w:r>
        <w:rPr>
          <w:color w:val="231F20"/>
          <w:spacing w:val="39"/>
        </w:rPr>
        <w:t> </w:t>
      </w:r>
      <w:r>
        <w:rPr>
          <w:color w:val="231F20"/>
        </w:rPr>
        <w:t>Road</w:t>
      </w:r>
      <w:r>
        <w:rPr>
          <w:color w:val="231F20"/>
          <w:spacing w:val="39"/>
        </w:rPr>
        <w:t> </w:t>
      </w:r>
      <w:r>
        <w:rPr>
          <w:color w:val="231F20"/>
        </w:rPr>
        <w:t>East,</w:t>
      </w:r>
      <w:r>
        <w:rPr>
          <w:color w:val="231F20"/>
          <w:spacing w:val="39"/>
        </w:rPr>
        <w:t> </w:t>
      </w:r>
      <w:r>
        <w:rPr>
          <w:color w:val="231F20"/>
        </w:rPr>
        <w:t>Wanchai,</w:t>
      </w:r>
      <w:r>
        <w:rPr>
          <w:color w:val="231F20"/>
          <w:spacing w:val="39"/>
        </w:rPr>
        <w:t> </w:t>
      </w:r>
      <w:r>
        <w:rPr>
          <w:color w:val="231F20"/>
        </w:rPr>
        <w:t>Hong</w:t>
      </w:r>
      <w:r>
        <w:rPr>
          <w:color w:val="231F20"/>
          <w:spacing w:val="39"/>
        </w:rPr>
        <w:t> </w:t>
      </w:r>
      <w:r>
        <w:rPr>
          <w:color w:val="231F20"/>
        </w:rPr>
        <w:t>Kong</w:t>
      </w:r>
      <w:r>
        <w:rPr>
          <w:color w:val="231F20"/>
          <w:spacing w:val="39"/>
        </w:rPr>
        <w:t> </w:t>
      </w:r>
      <w:r>
        <w:rPr>
          <w:color w:val="231F20"/>
        </w:rPr>
        <w:t>as</w:t>
      </w:r>
      <w:r>
        <w:rPr>
          <w:color w:val="231F20"/>
          <w:spacing w:val="39"/>
        </w:rPr>
        <w:t> </w:t>
      </w:r>
      <w:r>
        <w:rPr>
          <w:color w:val="231F20"/>
        </w:rPr>
        <w:t>soon as</w:t>
      </w:r>
      <w:r>
        <w:rPr>
          <w:color w:val="231F20"/>
          <w:spacing w:val="22"/>
        </w:rPr>
        <w:t> </w:t>
      </w:r>
      <w:r>
        <w:rPr>
          <w:color w:val="231F20"/>
        </w:rPr>
        <w:t>possible</w:t>
      </w:r>
      <w:r>
        <w:rPr>
          <w:color w:val="231F20"/>
          <w:spacing w:val="22"/>
        </w:rPr>
        <w:t> </w:t>
      </w:r>
      <w:r>
        <w:rPr>
          <w:color w:val="231F20"/>
        </w:rPr>
        <w:t>but</w:t>
      </w:r>
      <w:r>
        <w:rPr>
          <w:color w:val="231F20"/>
          <w:spacing w:val="22"/>
        </w:rPr>
        <w:t> </w:t>
      </w:r>
      <w:r>
        <w:rPr>
          <w:color w:val="231F20"/>
        </w:rPr>
        <w:t>in</w:t>
      </w:r>
      <w:r>
        <w:rPr>
          <w:color w:val="231F20"/>
          <w:spacing w:val="22"/>
        </w:rPr>
        <w:t> </w:t>
      </w:r>
      <w:r>
        <w:rPr>
          <w:color w:val="231F20"/>
        </w:rPr>
        <w:t>any</w:t>
      </w:r>
      <w:r>
        <w:rPr>
          <w:color w:val="231F20"/>
          <w:spacing w:val="22"/>
        </w:rPr>
        <w:t> </w:t>
      </w:r>
      <w:r>
        <w:rPr>
          <w:color w:val="231F20"/>
        </w:rPr>
        <w:t>event</w:t>
      </w:r>
      <w:r>
        <w:rPr>
          <w:color w:val="231F20"/>
          <w:spacing w:val="22"/>
        </w:rPr>
        <w:t> </w:t>
      </w:r>
      <w:r>
        <w:rPr>
          <w:color w:val="231F20"/>
        </w:rPr>
        <w:t>not</w:t>
      </w:r>
      <w:r>
        <w:rPr>
          <w:color w:val="231F20"/>
          <w:spacing w:val="22"/>
        </w:rPr>
        <w:t> </w:t>
      </w:r>
      <w:r>
        <w:rPr>
          <w:color w:val="231F20"/>
        </w:rPr>
        <w:t>later</w:t>
      </w:r>
      <w:r>
        <w:rPr>
          <w:color w:val="231F20"/>
          <w:spacing w:val="22"/>
        </w:rPr>
        <w:t> </w:t>
      </w:r>
      <w:r>
        <w:rPr>
          <w:color w:val="231F20"/>
        </w:rPr>
        <w:t>than</w:t>
      </w:r>
      <w:r>
        <w:rPr>
          <w:color w:val="231F20"/>
          <w:spacing w:val="22"/>
        </w:rPr>
        <w:t> </w:t>
      </w:r>
      <w:r>
        <w:rPr>
          <w:color w:val="231F20"/>
        </w:rPr>
        <w:t>24</w:t>
      </w:r>
      <w:r>
        <w:rPr>
          <w:color w:val="231F20"/>
          <w:spacing w:val="22"/>
        </w:rPr>
        <w:t> </w:t>
      </w:r>
      <w:r>
        <w:rPr>
          <w:color w:val="231F20"/>
        </w:rPr>
        <w:t>hours</w:t>
      </w:r>
      <w:r>
        <w:rPr>
          <w:color w:val="231F20"/>
          <w:spacing w:val="22"/>
        </w:rPr>
        <w:t> </w:t>
      </w:r>
      <w:r>
        <w:rPr>
          <w:color w:val="231F20"/>
        </w:rPr>
        <w:t>before</w:t>
      </w:r>
      <w:r>
        <w:rPr>
          <w:color w:val="231F20"/>
          <w:spacing w:val="22"/>
        </w:rPr>
        <w:t> </w:t>
      </w:r>
      <w:r>
        <w:rPr>
          <w:color w:val="231F20"/>
        </w:rPr>
        <w:t>the</w:t>
      </w:r>
      <w:r>
        <w:rPr>
          <w:color w:val="231F20"/>
          <w:spacing w:val="22"/>
        </w:rPr>
        <w:t> </w:t>
      </w:r>
      <w:r>
        <w:rPr>
          <w:color w:val="231F20"/>
        </w:rPr>
        <w:t>time</w:t>
      </w:r>
      <w:r>
        <w:rPr>
          <w:color w:val="231F20"/>
          <w:spacing w:val="22"/>
        </w:rPr>
        <w:t> </w:t>
      </w:r>
      <w:r>
        <w:rPr>
          <w:color w:val="231F20"/>
        </w:rPr>
        <w:t>fixed</w:t>
      </w:r>
      <w:r>
        <w:rPr>
          <w:color w:val="231F20"/>
          <w:spacing w:val="22"/>
        </w:rPr>
        <w:t> </w:t>
      </w:r>
      <w:r>
        <w:rPr>
          <w:color w:val="231F20"/>
        </w:rPr>
        <w:t>for</w:t>
      </w:r>
      <w:r>
        <w:rPr>
          <w:color w:val="231F20"/>
          <w:spacing w:val="22"/>
        </w:rPr>
        <w:t> </w:t>
      </w:r>
      <w:r>
        <w:rPr>
          <w:color w:val="231F20"/>
        </w:rPr>
        <w:t>holding</w:t>
      </w:r>
      <w:r>
        <w:rPr>
          <w:color w:val="231F20"/>
          <w:spacing w:val="22"/>
        </w:rPr>
        <w:t> </w:t>
      </w:r>
      <w:r>
        <w:rPr>
          <w:color w:val="231F20"/>
        </w:rPr>
        <w:t>the</w:t>
      </w:r>
      <w:r>
        <w:rPr>
          <w:color w:val="231F20"/>
          <w:spacing w:val="22"/>
        </w:rPr>
        <w:t> </w:t>
      </w:r>
      <w:r>
        <w:rPr>
          <w:color w:val="231F20"/>
        </w:rPr>
        <w:t>2025</w:t>
      </w:r>
      <w:r>
        <w:rPr>
          <w:color w:val="231F20"/>
          <w:spacing w:val="22"/>
        </w:rPr>
        <w:t> </w:t>
      </w:r>
      <w:r>
        <w:rPr>
          <w:color w:val="231F20"/>
        </w:rPr>
        <w:t>Second</w:t>
      </w:r>
      <w:r>
        <w:rPr>
          <w:color w:val="231F20"/>
          <w:spacing w:val="22"/>
        </w:rPr>
        <w:t> </w:t>
      </w:r>
      <w:r>
        <w:rPr>
          <w:color w:val="231F20"/>
        </w:rPr>
        <w:t>EGM or</w:t>
      </w:r>
      <w:r>
        <w:rPr>
          <w:color w:val="231F20"/>
          <w:spacing w:val="22"/>
        </w:rPr>
        <w:t> </w:t>
      </w:r>
      <w:r>
        <w:rPr>
          <w:color w:val="231F20"/>
        </w:rPr>
        <w:t>any</w:t>
      </w:r>
      <w:r>
        <w:rPr>
          <w:color w:val="231F20"/>
          <w:spacing w:val="22"/>
        </w:rPr>
        <w:t> </w:t>
      </w:r>
      <w:r>
        <w:rPr>
          <w:color w:val="231F20"/>
        </w:rPr>
        <w:t>adjournment</w:t>
      </w:r>
      <w:r>
        <w:rPr>
          <w:color w:val="231F20"/>
          <w:spacing w:val="22"/>
        </w:rPr>
        <w:t> </w:t>
      </w:r>
      <w:r>
        <w:rPr>
          <w:color w:val="231F20"/>
        </w:rPr>
        <w:t>thereof</w:t>
      </w:r>
      <w:r>
        <w:rPr>
          <w:color w:val="231F20"/>
          <w:spacing w:val="22"/>
        </w:rPr>
        <w:t> </w:t>
      </w:r>
      <w:r>
        <w:rPr>
          <w:color w:val="231F20"/>
        </w:rPr>
        <w:t>(as</w:t>
      </w:r>
      <w:r>
        <w:rPr>
          <w:color w:val="231F20"/>
          <w:spacing w:val="22"/>
        </w:rPr>
        <w:t> </w:t>
      </w:r>
      <w:r>
        <w:rPr>
          <w:color w:val="231F20"/>
        </w:rPr>
        <w:t>the</w:t>
      </w:r>
      <w:r>
        <w:rPr>
          <w:color w:val="231F20"/>
          <w:spacing w:val="22"/>
        </w:rPr>
        <w:t> </w:t>
      </w:r>
      <w:r>
        <w:rPr>
          <w:color w:val="231F20"/>
        </w:rPr>
        <w:t>case</w:t>
      </w:r>
      <w:r>
        <w:rPr>
          <w:color w:val="231F20"/>
          <w:spacing w:val="22"/>
        </w:rPr>
        <w:t> </w:t>
      </w:r>
      <w:r>
        <w:rPr>
          <w:color w:val="231F20"/>
        </w:rPr>
        <w:t>may</w:t>
      </w:r>
      <w:r>
        <w:rPr>
          <w:color w:val="231F20"/>
          <w:spacing w:val="22"/>
        </w:rPr>
        <w:t> </w:t>
      </w:r>
      <w:r>
        <w:rPr>
          <w:color w:val="231F20"/>
        </w:rPr>
        <w:t>be).</w:t>
      </w:r>
      <w:r>
        <w:rPr>
          <w:color w:val="231F20"/>
          <w:spacing w:val="22"/>
        </w:rPr>
        <w:t> </w:t>
      </w:r>
      <w:r>
        <w:rPr>
          <w:color w:val="231F20"/>
        </w:rPr>
        <w:t>Completion</w:t>
      </w:r>
      <w:r>
        <w:rPr>
          <w:color w:val="231F20"/>
          <w:spacing w:val="22"/>
        </w:rPr>
        <w:t> </w:t>
      </w:r>
      <w:r>
        <w:rPr>
          <w:color w:val="231F20"/>
        </w:rPr>
        <w:t>and</w:t>
      </w:r>
      <w:r>
        <w:rPr>
          <w:color w:val="231F20"/>
          <w:spacing w:val="22"/>
        </w:rPr>
        <w:t> </w:t>
      </w:r>
      <w:r>
        <w:rPr>
          <w:color w:val="231F20"/>
        </w:rPr>
        <w:t>return</w:t>
      </w:r>
      <w:r>
        <w:rPr>
          <w:color w:val="231F20"/>
          <w:spacing w:val="22"/>
        </w:rPr>
        <w:t> </w:t>
      </w:r>
      <w:r>
        <w:rPr>
          <w:color w:val="231F20"/>
        </w:rPr>
        <w:t>of</w:t>
      </w:r>
      <w:r>
        <w:rPr>
          <w:color w:val="231F20"/>
          <w:spacing w:val="22"/>
        </w:rPr>
        <w:t> </w:t>
      </w:r>
      <w:r>
        <w:rPr>
          <w:color w:val="231F20"/>
        </w:rPr>
        <w:t>the</w:t>
      </w:r>
      <w:r>
        <w:rPr>
          <w:color w:val="231F20"/>
          <w:spacing w:val="22"/>
        </w:rPr>
        <w:t> </w:t>
      </w:r>
      <w:r>
        <w:rPr>
          <w:color w:val="231F20"/>
        </w:rPr>
        <w:t>proxy</w:t>
      </w:r>
      <w:r>
        <w:rPr>
          <w:color w:val="231F20"/>
          <w:spacing w:val="22"/>
        </w:rPr>
        <w:t> </w:t>
      </w:r>
      <w:r>
        <w:rPr>
          <w:color w:val="231F20"/>
        </w:rPr>
        <w:t>form</w:t>
      </w:r>
      <w:r>
        <w:rPr>
          <w:color w:val="231F20"/>
          <w:spacing w:val="22"/>
        </w:rPr>
        <w:t> </w:t>
      </w:r>
      <w:r>
        <w:rPr>
          <w:color w:val="231F20"/>
        </w:rPr>
        <w:t>will</w:t>
      </w:r>
      <w:r>
        <w:rPr>
          <w:color w:val="231F20"/>
          <w:spacing w:val="22"/>
        </w:rPr>
        <w:t> </w:t>
      </w:r>
      <w:r>
        <w:rPr>
          <w:color w:val="231F20"/>
        </w:rPr>
        <w:t>not</w:t>
      </w:r>
      <w:r>
        <w:rPr>
          <w:color w:val="231F20"/>
          <w:spacing w:val="22"/>
        </w:rPr>
        <w:t> </w:t>
      </w:r>
      <w:r>
        <w:rPr>
          <w:color w:val="231F20"/>
        </w:rPr>
        <w:t>preclude you from attending and voting in person at the 2025 Second EGM or any adjourned meeting in person should</w:t>
      </w:r>
      <w:r>
        <w:rPr>
          <w:color w:val="231F20"/>
          <w:spacing w:val="40"/>
        </w:rPr>
        <w:t> </w:t>
      </w:r>
      <w:r>
        <w:rPr>
          <w:color w:val="231F20"/>
        </w:rPr>
        <w:t>you</w:t>
      </w:r>
      <w:r>
        <w:rPr>
          <w:color w:val="231F20"/>
          <w:spacing w:val="31"/>
        </w:rPr>
        <w:t> </w:t>
      </w:r>
      <w:r>
        <w:rPr>
          <w:color w:val="231F20"/>
        </w:rPr>
        <w:t>so</w:t>
      </w:r>
      <w:r>
        <w:rPr>
          <w:color w:val="231F20"/>
          <w:spacing w:val="31"/>
        </w:rPr>
        <w:t> </w:t>
      </w:r>
      <w:r>
        <w:rPr>
          <w:color w:val="231F20"/>
        </w:rPr>
        <w:t>desire.</w:t>
      </w:r>
      <w:r>
        <w:rPr>
          <w:color w:val="231F20"/>
          <w:spacing w:val="31"/>
        </w:rPr>
        <w:t> </w:t>
      </w:r>
      <w:r>
        <w:rPr>
          <w:color w:val="231F20"/>
        </w:rPr>
        <w:t>A</w:t>
      </w:r>
      <w:r>
        <w:rPr>
          <w:color w:val="231F20"/>
          <w:spacing w:val="31"/>
        </w:rPr>
        <w:t> </w:t>
      </w:r>
      <w:r>
        <w:rPr>
          <w:color w:val="231F20"/>
        </w:rPr>
        <w:t>letter</w:t>
      </w:r>
      <w:r>
        <w:rPr>
          <w:color w:val="231F20"/>
          <w:spacing w:val="31"/>
        </w:rPr>
        <w:t> </w:t>
      </w:r>
      <w:r>
        <w:rPr>
          <w:color w:val="231F20"/>
        </w:rPr>
        <w:t>from</w:t>
      </w:r>
      <w:r>
        <w:rPr>
          <w:color w:val="231F20"/>
          <w:spacing w:val="31"/>
        </w:rPr>
        <w:t> </w:t>
      </w:r>
      <w:r>
        <w:rPr>
          <w:color w:val="231F20"/>
        </w:rPr>
        <w:t>the</w:t>
      </w:r>
      <w:r>
        <w:rPr>
          <w:color w:val="231F20"/>
          <w:spacing w:val="31"/>
        </w:rPr>
        <w:t> </w:t>
      </w:r>
      <w:r>
        <w:rPr>
          <w:color w:val="231F20"/>
        </w:rPr>
        <w:t>Board</w:t>
      </w:r>
      <w:r>
        <w:rPr>
          <w:color w:val="231F20"/>
          <w:spacing w:val="31"/>
        </w:rPr>
        <w:t> </w:t>
      </w:r>
      <w:r>
        <w:rPr>
          <w:color w:val="231F20"/>
        </w:rPr>
        <w:t>is</w:t>
      </w:r>
      <w:r>
        <w:rPr>
          <w:color w:val="231F20"/>
          <w:spacing w:val="31"/>
        </w:rPr>
        <w:t> </w:t>
      </w:r>
      <w:r>
        <w:rPr>
          <w:color w:val="231F20"/>
        </w:rPr>
        <w:t>set</w:t>
      </w:r>
      <w:r>
        <w:rPr>
          <w:color w:val="231F20"/>
          <w:spacing w:val="31"/>
        </w:rPr>
        <w:t> </w:t>
      </w:r>
      <w:r>
        <w:rPr>
          <w:color w:val="231F20"/>
        </w:rPr>
        <w:t>out</w:t>
      </w:r>
      <w:r>
        <w:rPr>
          <w:color w:val="231F20"/>
          <w:spacing w:val="31"/>
        </w:rPr>
        <w:t> </w:t>
      </w:r>
      <w:r>
        <w:rPr>
          <w:color w:val="231F20"/>
        </w:rPr>
        <w:t>on</w:t>
      </w:r>
      <w:r>
        <w:rPr>
          <w:color w:val="231F20"/>
          <w:spacing w:val="31"/>
        </w:rPr>
        <w:t> </w:t>
      </w:r>
      <w:r>
        <w:rPr>
          <w:color w:val="231F20"/>
        </w:rPr>
        <w:t>pages</w:t>
      </w:r>
      <w:r>
        <w:rPr>
          <w:color w:val="231F20"/>
          <w:spacing w:val="31"/>
        </w:rPr>
        <w:t> </w:t>
      </w:r>
      <w:r>
        <w:rPr>
          <w:color w:val="231F20"/>
        </w:rPr>
        <w:t>3</w:t>
      </w:r>
      <w:r>
        <w:rPr>
          <w:color w:val="231F20"/>
          <w:spacing w:val="31"/>
        </w:rPr>
        <w:t> </w:t>
      </w:r>
      <w:r>
        <w:rPr>
          <w:color w:val="231F20"/>
        </w:rPr>
        <w:t>to</w:t>
      </w:r>
      <w:r>
        <w:rPr>
          <w:color w:val="231F20"/>
          <w:spacing w:val="31"/>
        </w:rPr>
        <w:t> </w:t>
      </w:r>
      <w:r>
        <w:rPr>
          <w:color w:val="231F20"/>
        </w:rPr>
        <w:t>5</w:t>
      </w:r>
      <w:r>
        <w:rPr>
          <w:color w:val="231F20"/>
          <w:spacing w:val="31"/>
        </w:rPr>
        <w:t> </w:t>
      </w:r>
      <w:r>
        <w:rPr>
          <w:color w:val="231F20"/>
        </w:rPr>
        <w:t>of</w:t>
      </w:r>
      <w:r>
        <w:rPr>
          <w:color w:val="231F20"/>
          <w:spacing w:val="31"/>
        </w:rPr>
        <w:t> </w:t>
      </w:r>
      <w:r>
        <w:rPr>
          <w:color w:val="231F20"/>
        </w:rPr>
        <w:t>this</w:t>
      </w:r>
      <w:r>
        <w:rPr>
          <w:color w:val="231F20"/>
          <w:spacing w:val="31"/>
        </w:rPr>
        <w:t> </w:t>
      </w:r>
      <w:r>
        <w:rPr>
          <w:color w:val="231F20"/>
        </w:rPr>
        <w:t>circular.</w:t>
      </w:r>
    </w:p>
    <w:p>
      <w:pPr>
        <w:pStyle w:val="BodyText"/>
        <w:spacing w:before="12"/>
      </w:pPr>
    </w:p>
    <w:p>
      <w:pPr>
        <w:pStyle w:val="BodyText"/>
        <w:ind w:right="135"/>
        <w:jc w:val="right"/>
      </w:pPr>
      <w:r>
        <w:rPr>
          <w:color w:val="231F20"/>
        </w:rPr>
        <w:t>August</w:t>
      </w:r>
      <w:r>
        <w:rPr>
          <w:color w:val="231F20"/>
          <w:spacing w:val="22"/>
        </w:rPr>
        <w:t> </w:t>
      </w:r>
      <w:r>
        <w:rPr>
          <w:color w:val="231F20"/>
        </w:rPr>
        <w:t>25,</w:t>
      </w:r>
      <w:r>
        <w:rPr>
          <w:color w:val="231F20"/>
          <w:spacing w:val="23"/>
        </w:rPr>
        <w:t> </w:t>
      </w:r>
      <w:r>
        <w:rPr>
          <w:color w:val="231F20"/>
          <w:spacing w:val="-4"/>
        </w:rPr>
        <w:t>2025</w:t>
      </w:r>
    </w:p>
    <w:p>
      <w:pPr>
        <w:pStyle w:val="BodyText"/>
        <w:spacing w:after="0"/>
        <w:jc w:val="right"/>
        <w:sectPr>
          <w:headerReference w:type="default" r:id="rId5"/>
          <w:type w:val="continuous"/>
          <w:pgSz w:w="11910" w:h="15880"/>
          <w:pgMar w:header="567" w:footer="0" w:top="1300" w:bottom="280" w:left="1275" w:right="1275"/>
          <w:pgNumType w:start="1"/>
        </w:sectPr>
      </w:pPr>
    </w:p>
    <w:p>
      <w:pPr>
        <w:spacing w:before="91"/>
        <w:ind w:left="0" w:right="135" w:firstLine="0"/>
        <w:jc w:val="right"/>
        <w:rPr>
          <w:i/>
          <w:sz w:val="20"/>
        </w:rPr>
      </w:pPr>
      <w:r>
        <w:rPr>
          <w:i/>
          <w:color w:val="231F20"/>
          <w:spacing w:val="-4"/>
          <w:sz w:val="20"/>
        </w:rPr>
        <w:t>Page</w:t>
      </w:r>
    </w:p>
    <w:p>
      <w:pPr>
        <w:pStyle w:val="BodyText"/>
        <w:tabs>
          <w:tab w:pos="9213" w:val="right" w:leader="none"/>
        </w:tabs>
        <w:spacing w:before="330"/>
        <w:ind w:left="142"/>
      </w:pPr>
      <w:r>
        <w:rPr>
          <w:b/>
          <w:color w:val="231F20"/>
        </w:rPr>
        <w:t>DEFINITIONS</w:t>
      </w:r>
      <w:r>
        <w:rPr>
          <w:b/>
          <w:color w:val="231F20"/>
          <w:spacing w:val="63"/>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0"/>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0"/>
        </w:rPr>
        <w:t> </w:t>
      </w:r>
      <w:r>
        <w:rPr>
          <w:color w:val="231F20"/>
          <w:spacing w:val="-10"/>
        </w:rPr>
        <w:t>.</w:t>
      </w:r>
      <w:r>
        <w:rPr>
          <w:color w:val="231F20"/>
        </w:rPr>
        <w:tab/>
      </w:r>
      <w:r>
        <w:rPr>
          <w:color w:val="231F20"/>
          <w:spacing w:val="-10"/>
        </w:rPr>
        <w:t>1</w:t>
      </w:r>
    </w:p>
    <w:p>
      <w:pPr>
        <w:pStyle w:val="BodyText"/>
        <w:tabs>
          <w:tab w:pos="9213" w:val="right" w:leader="none"/>
        </w:tabs>
        <w:spacing w:before="330"/>
        <w:ind w:left="142"/>
      </w:pPr>
      <w:r>
        <w:rPr>
          <w:b/>
          <w:color w:val="231F20"/>
        </w:rPr>
        <w:t>LETTER</w:t>
      </w:r>
      <w:r>
        <w:rPr>
          <w:b/>
          <w:color w:val="231F20"/>
          <w:spacing w:val="10"/>
        </w:rPr>
        <w:t> </w:t>
      </w:r>
      <w:r>
        <w:rPr>
          <w:b/>
          <w:color w:val="231F20"/>
        </w:rPr>
        <w:t>FROM</w:t>
      </w:r>
      <w:r>
        <w:rPr>
          <w:b/>
          <w:color w:val="231F20"/>
          <w:spacing w:val="11"/>
        </w:rPr>
        <w:t> </w:t>
      </w:r>
      <w:r>
        <w:rPr>
          <w:b/>
          <w:color w:val="231F20"/>
        </w:rPr>
        <w:t>THE</w:t>
      </w:r>
      <w:r>
        <w:rPr>
          <w:b/>
          <w:color w:val="231F20"/>
          <w:spacing w:val="12"/>
        </w:rPr>
        <w:t> </w:t>
      </w:r>
      <w:r>
        <w:rPr>
          <w:b/>
          <w:color w:val="231F20"/>
        </w:rPr>
        <w:t>BOARD</w:t>
      </w:r>
      <w:r>
        <w:rPr>
          <w:b/>
          <w:color w:val="231F20"/>
          <w:spacing w:val="50"/>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2"/>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2"/>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2"/>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2"/>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2"/>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2"/>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2"/>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2"/>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2"/>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1"/>
        </w:rPr>
        <w:t> </w:t>
      </w:r>
      <w:r>
        <w:rPr>
          <w:color w:val="231F20"/>
        </w:rPr>
        <w:t>.</w:t>
      </w:r>
      <w:r>
        <w:rPr>
          <w:color w:val="231F20"/>
          <w:spacing w:val="12"/>
        </w:rPr>
        <w:t> </w:t>
      </w:r>
      <w:r>
        <w:rPr>
          <w:color w:val="231F20"/>
        </w:rPr>
        <w:t>.</w:t>
      </w:r>
      <w:r>
        <w:rPr>
          <w:color w:val="231F20"/>
          <w:spacing w:val="11"/>
        </w:rPr>
        <w:t> </w:t>
      </w:r>
      <w:r>
        <w:rPr>
          <w:color w:val="231F20"/>
          <w:spacing w:val="-10"/>
        </w:rPr>
        <w:t>.</w:t>
      </w:r>
      <w:r>
        <w:rPr>
          <w:color w:val="231F20"/>
        </w:rPr>
        <w:tab/>
      </w:r>
      <w:r>
        <w:rPr>
          <w:color w:val="231F20"/>
          <w:spacing w:val="-10"/>
        </w:rPr>
        <w:t>3</w:t>
      </w:r>
    </w:p>
    <w:p>
      <w:pPr>
        <w:tabs>
          <w:tab w:pos="1679" w:val="left" w:leader="none"/>
          <w:tab w:pos="2013" w:val="left" w:leader="none"/>
          <w:tab w:pos="8936" w:val="left" w:leader="none"/>
        </w:tabs>
        <w:spacing w:line="261" w:lineRule="auto" w:before="300"/>
        <w:ind w:left="2218" w:right="140" w:hanging="2076"/>
        <w:jc w:val="left"/>
        <w:rPr>
          <w:sz w:val="20"/>
        </w:rPr>
      </w:pPr>
      <w:r>
        <w:rPr>
          <w:b/>
          <w:color w:val="231F20"/>
          <w:sz w:val="20"/>
        </w:rPr>
        <w:t>APPENDIX I</w:t>
        <w:tab/>
      </w:r>
      <w:r>
        <w:rPr>
          <w:b/>
          <w:color w:val="231F20"/>
          <w:spacing w:val="-10"/>
          <w:position w:val="3"/>
          <w:sz w:val="20"/>
        </w:rPr>
        <w:t>–</w:t>
      </w:r>
      <w:r>
        <w:rPr>
          <w:b/>
          <w:color w:val="231F20"/>
          <w:position w:val="3"/>
          <w:sz w:val="20"/>
        </w:rPr>
        <w:tab/>
      </w:r>
      <w:r>
        <w:rPr>
          <w:b/>
          <w:color w:val="231F20"/>
          <w:sz w:val="20"/>
        </w:rPr>
        <w:t>BUSINESS</w:t>
      </w:r>
      <w:r>
        <w:rPr>
          <w:b/>
          <w:color w:val="231F20"/>
          <w:spacing w:val="40"/>
          <w:sz w:val="20"/>
        </w:rPr>
        <w:t> </w:t>
      </w:r>
      <w:r>
        <w:rPr>
          <w:b/>
          <w:color w:val="231F20"/>
          <w:sz w:val="20"/>
        </w:rPr>
        <w:t>TO</w:t>
      </w:r>
      <w:r>
        <w:rPr>
          <w:b/>
          <w:color w:val="231F20"/>
          <w:spacing w:val="40"/>
          <w:sz w:val="20"/>
        </w:rPr>
        <w:t> </w:t>
      </w:r>
      <w:r>
        <w:rPr>
          <w:b/>
          <w:color w:val="231F20"/>
          <w:sz w:val="20"/>
        </w:rPr>
        <w:t>BE</w:t>
      </w:r>
      <w:r>
        <w:rPr>
          <w:b/>
          <w:color w:val="231F20"/>
          <w:spacing w:val="40"/>
          <w:sz w:val="20"/>
        </w:rPr>
        <w:t> </w:t>
      </w:r>
      <w:r>
        <w:rPr>
          <w:b/>
          <w:color w:val="231F20"/>
          <w:sz w:val="20"/>
        </w:rPr>
        <w:t>TRANSACTED</w:t>
      </w:r>
      <w:r>
        <w:rPr>
          <w:b/>
          <w:color w:val="231F20"/>
          <w:spacing w:val="40"/>
          <w:sz w:val="20"/>
        </w:rPr>
        <w:t> </w:t>
      </w:r>
      <w:r>
        <w:rPr>
          <w:b/>
          <w:color w:val="231F20"/>
          <w:sz w:val="20"/>
        </w:rPr>
        <w:t>AT</w:t>
      </w:r>
      <w:r>
        <w:rPr>
          <w:b/>
          <w:color w:val="231F20"/>
          <w:spacing w:val="40"/>
          <w:sz w:val="20"/>
        </w:rPr>
        <w:t> </w:t>
      </w:r>
      <w:r>
        <w:rPr>
          <w:b/>
          <w:color w:val="231F20"/>
          <w:sz w:val="20"/>
        </w:rPr>
        <w:t>THE</w:t>
      </w:r>
      <w:r>
        <w:rPr>
          <w:b/>
          <w:color w:val="231F20"/>
          <w:spacing w:val="40"/>
          <w:sz w:val="20"/>
        </w:rPr>
        <w:t> </w:t>
      </w:r>
      <w:r>
        <w:rPr>
          <w:b/>
          <w:color w:val="231F20"/>
          <w:sz w:val="20"/>
        </w:rPr>
        <w:t>2025</w:t>
      </w:r>
      <w:r>
        <w:rPr>
          <w:b/>
          <w:color w:val="231F20"/>
          <w:spacing w:val="40"/>
          <w:sz w:val="20"/>
        </w:rPr>
        <w:t> </w:t>
      </w:r>
      <w:r>
        <w:rPr>
          <w:b/>
          <w:color w:val="231F20"/>
          <w:sz w:val="20"/>
        </w:rPr>
        <w:t>SECOND EXTRAORDINARY</w:t>
      </w:r>
      <w:r>
        <w:rPr>
          <w:b/>
          <w:color w:val="231F20"/>
          <w:spacing w:val="13"/>
          <w:sz w:val="20"/>
        </w:rPr>
        <w:t> </w:t>
      </w:r>
      <w:r>
        <w:rPr>
          <w:b/>
          <w:color w:val="231F20"/>
          <w:sz w:val="20"/>
        </w:rPr>
        <w:t>GENERAL</w:t>
      </w:r>
      <w:r>
        <w:rPr>
          <w:b/>
          <w:color w:val="231F20"/>
          <w:spacing w:val="15"/>
          <w:sz w:val="20"/>
        </w:rPr>
        <w:t> </w:t>
      </w:r>
      <w:r>
        <w:rPr>
          <w:b/>
          <w:color w:val="231F20"/>
          <w:sz w:val="20"/>
        </w:rPr>
        <w:t>MEETING</w:t>
      </w:r>
      <w:r>
        <w:rPr>
          <w:b/>
          <w:color w:val="231F20"/>
          <w:spacing w:val="28"/>
          <w:sz w:val="20"/>
        </w:rPr>
        <w:t>  </w:t>
      </w:r>
      <w:r>
        <w:rPr>
          <w:color w:val="231F20"/>
          <w:sz w:val="20"/>
        </w:rPr>
        <w:t>.</w:t>
      </w:r>
      <w:r>
        <w:rPr>
          <w:color w:val="231F20"/>
          <w:spacing w:val="15"/>
          <w:sz w:val="20"/>
        </w:rPr>
        <w:t> </w:t>
      </w:r>
      <w:r>
        <w:rPr>
          <w:color w:val="231F20"/>
          <w:sz w:val="20"/>
        </w:rPr>
        <w:t>.</w:t>
      </w:r>
      <w:r>
        <w:rPr>
          <w:color w:val="231F20"/>
          <w:spacing w:val="15"/>
          <w:sz w:val="20"/>
        </w:rPr>
        <w:t> </w:t>
      </w:r>
      <w:r>
        <w:rPr>
          <w:color w:val="231F20"/>
          <w:sz w:val="20"/>
        </w:rPr>
        <w:t>.</w:t>
      </w:r>
      <w:r>
        <w:rPr>
          <w:color w:val="231F20"/>
          <w:spacing w:val="15"/>
          <w:sz w:val="20"/>
        </w:rPr>
        <w:t> </w:t>
      </w:r>
      <w:r>
        <w:rPr>
          <w:color w:val="231F20"/>
          <w:sz w:val="20"/>
        </w:rPr>
        <w:t>.</w:t>
      </w:r>
      <w:r>
        <w:rPr>
          <w:color w:val="231F20"/>
          <w:spacing w:val="15"/>
          <w:sz w:val="20"/>
        </w:rPr>
        <w:t> </w:t>
      </w:r>
      <w:r>
        <w:rPr>
          <w:color w:val="231F20"/>
          <w:sz w:val="20"/>
        </w:rPr>
        <w:t>.</w:t>
      </w:r>
      <w:r>
        <w:rPr>
          <w:color w:val="231F20"/>
          <w:spacing w:val="15"/>
          <w:sz w:val="20"/>
        </w:rPr>
        <w:t> </w:t>
      </w:r>
      <w:r>
        <w:rPr>
          <w:color w:val="231F20"/>
          <w:sz w:val="20"/>
        </w:rPr>
        <w:t>.</w:t>
      </w:r>
      <w:r>
        <w:rPr>
          <w:color w:val="231F20"/>
          <w:spacing w:val="15"/>
          <w:sz w:val="20"/>
        </w:rPr>
        <w:t> </w:t>
      </w:r>
      <w:r>
        <w:rPr>
          <w:color w:val="231F20"/>
          <w:sz w:val="20"/>
        </w:rPr>
        <w:t>.</w:t>
      </w:r>
      <w:r>
        <w:rPr>
          <w:color w:val="231F20"/>
          <w:spacing w:val="15"/>
          <w:sz w:val="20"/>
        </w:rPr>
        <w:t> </w:t>
      </w:r>
      <w:r>
        <w:rPr>
          <w:color w:val="231F20"/>
          <w:sz w:val="20"/>
        </w:rPr>
        <w:t>.</w:t>
      </w:r>
      <w:r>
        <w:rPr>
          <w:color w:val="231F20"/>
          <w:spacing w:val="15"/>
          <w:sz w:val="20"/>
        </w:rPr>
        <w:t> </w:t>
      </w:r>
      <w:r>
        <w:rPr>
          <w:color w:val="231F20"/>
          <w:sz w:val="20"/>
        </w:rPr>
        <w:t>.</w:t>
      </w:r>
      <w:r>
        <w:rPr>
          <w:color w:val="231F20"/>
          <w:spacing w:val="15"/>
          <w:sz w:val="20"/>
        </w:rPr>
        <w:t> </w:t>
      </w:r>
      <w:r>
        <w:rPr>
          <w:color w:val="231F20"/>
          <w:sz w:val="20"/>
        </w:rPr>
        <w:t>.</w:t>
      </w:r>
      <w:r>
        <w:rPr>
          <w:color w:val="231F20"/>
          <w:spacing w:val="15"/>
          <w:sz w:val="20"/>
        </w:rPr>
        <w:t> </w:t>
      </w:r>
      <w:r>
        <w:rPr>
          <w:color w:val="231F20"/>
          <w:sz w:val="20"/>
        </w:rPr>
        <w:t>.</w:t>
      </w:r>
      <w:r>
        <w:rPr>
          <w:color w:val="231F20"/>
          <w:spacing w:val="15"/>
          <w:sz w:val="20"/>
        </w:rPr>
        <w:t> </w:t>
      </w:r>
      <w:r>
        <w:rPr>
          <w:color w:val="231F20"/>
          <w:sz w:val="20"/>
        </w:rPr>
        <w:t>.</w:t>
      </w:r>
      <w:r>
        <w:rPr>
          <w:color w:val="231F20"/>
          <w:spacing w:val="15"/>
          <w:sz w:val="20"/>
        </w:rPr>
        <w:t> </w:t>
      </w:r>
      <w:r>
        <w:rPr>
          <w:color w:val="231F20"/>
          <w:sz w:val="20"/>
        </w:rPr>
        <w:t>.</w:t>
      </w:r>
      <w:r>
        <w:rPr>
          <w:color w:val="231F20"/>
          <w:spacing w:val="15"/>
          <w:sz w:val="20"/>
        </w:rPr>
        <w:t> </w:t>
      </w:r>
      <w:r>
        <w:rPr>
          <w:color w:val="231F20"/>
          <w:sz w:val="20"/>
        </w:rPr>
        <w:t>.</w:t>
      </w:r>
      <w:r>
        <w:rPr>
          <w:color w:val="231F20"/>
          <w:spacing w:val="15"/>
          <w:sz w:val="20"/>
        </w:rPr>
        <w:t> </w:t>
      </w:r>
      <w:r>
        <w:rPr>
          <w:color w:val="231F20"/>
          <w:sz w:val="20"/>
        </w:rPr>
        <w:t>.</w:t>
      </w:r>
      <w:r>
        <w:rPr>
          <w:color w:val="231F20"/>
          <w:spacing w:val="15"/>
          <w:sz w:val="20"/>
        </w:rPr>
        <w:t> </w:t>
      </w:r>
      <w:r>
        <w:rPr>
          <w:color w:val="231F20"/>
          <w:sz w:val="20"/>
        </w:rPr>
        <w:t>.</w:t>
      </w:r>
      <w:r>
        <w:rPr>
          <w:color w:val="231F20"/>
          <w:spacing w:val="15"/>
          <w:sz w:val="20"/>
        </w:rPr>
        <w:t> </w:t>
      </w:r>
      <w:r>
        <w:rPr>
          <w:color w:val="231F20"/>
          <w:spacing w:val="-10"/>
          <w:sz w:val="20"/>
        </w:rPr>
        <w:t>.</w:t>
      </w:r>
      <w:r>
        <w:rPr>
          <w:color w:val="231F20"/>
          <w:sz w:val="20"/>
        </w:rPr>
        <w:tab/>
      </w:r>
      <w:r>
        <w:rPr>
          <w:color w:val="231F20"/>
          <w:spacing w:val="-5"/>
          <w:sz w:val="20"/>
        </w:rPr>
        <w:t>I</w:t>
      </w:r>
      <w:r>
        <w:rPr>
          <w:color w:val="231F20"/>
          <w:spacing w:val="-5"/>
          <w:position w:val="3"/>
          <w:sz w:val="20"/>
        </w:rPr>
        <w:t>–</w:t>
      </w:r>
      <w:r>
        <w:rPr>
          <w:color w:val="231F20"/>
          <w:spacing w:val="-5"/>
          <w:sz w:val="20"/>
        </w:rPr>
        <w:t>1</w:t>
      </w:r>
    </w:p>
    <w:p>
      <w:pPr>
        <w:pStyle w:val="Heading3"/>
        <w:tabs>
          <w:tab w:pos="8548" w:val="left" w:leader="dot"/>
        </w:tabs>
        <w:spacing w:before="279"/>
        <w:ind w:left="142" w:firstLine="0"/>
        <w:rPr>
          <w:b w:val="0"/>
        </w:rPr>
      </w:pPr>
      <w:r>
        <w:rPr>
          <w:color w:val="231F20"/>
        </w:rPr>
        <w:t>NOTICE</w:t>
      </w:r>
      <w:r>
        <w:rPr>
          <w:color w:val="231F20"/>
          <w:spacing w:val="30"/>
        </w:rPr>
        <w:t> </w:t>
      </w:r>
      <w:r>
        <w:rPr>
          <w:color w:val="231F20"/>
        </w:rPr>
        <w:t>OF</w:t>
      </w:r>
      <w:r>
        <w:rPr>
          <w:color w:val="231F20"/>
          <w:spacing w:val="31"/>
        </w:rPr>
        <w:t> </w:t>
      </w:r>
      <w:r>
        <w:rPr>
          <w:color w:val="231F20"/>
        </w:rPr>
        <w:t>2025</w:t>
      </w:r>
      <w:r>
        <w:rPr>
          <w:color w:val="231F20"/>
          <w:spacing w:val="31"/>
        </w:rPr>
        <w:t> </w:t>
      </w:r>
      <w:r>
        <w:rPr>
          <w:color w:val="231F20"/>
        </w:rPr>
        <w:t>SECOND</w:t>
      </w:r>
      <w:r>
        <w:rPr>
          <w:color w:val="231F20"/>
          <w:spacing w:val="31"/>
        </w:rPr>
        <w:t> </w:t>
      </w:r>
      <w:r>
        <w:rPr>
          <w:color w:val="231F20"/>
        </w:rPr>
        <w:t>EXTRAORDINARY</w:t>
      </w:r>
      <w:r>
        <w:rPr>
          <w:color w:val="231F20"/>
          <w:spacing w:val="31"/>
        </w:rPr>
        <w:t> </w:t>
      </w:r>
      <w:r>
        <w:rPr>
          <w:color w:val="231F20"/>
        </w:rPr>
        <w:t>GENERAL</w:t>
      </w:r>
      <w:r>
        <w:rPr>
          <w:color w:val="231F20"/>
          <w:spacing w:val="31"/>
        </w:rPr>
        <w:t> </w:t>
      </w:r>
      <w:r>
        <w:rPr>
          <w:color w:val="231F20"/>
          <w:spacing w:val="-2"/>
        </w:rPr>
        <w:t>MEETING</w:t>
      </w:r>
      <w:r>
        <w:rPr>
          <w:color w:val="231F20"/>
        </w:rPr>
        <w:tab/>
      </w:r>
      <w:r>
        <w:rPr>
          <w:b w:val="0"/>
          <w:color w:val="231F20"/>
          <w:spacing w:val="-2"/>
        </w:rPr>
        <w:t>EGM</w:t>
      </w:r>
      <w:r>
        <w:rPr>
          <w:b w:val="0"/>
          <w:color w:val="231F20"/>
          <w:spacing w:val="-2"/>
          <w:position w:val="3"/>
        </w:rPr>
        <w:t>–</w:t>
      </w:r>
      <w:r>
        <w:rPr>
          <w:b w:val="0"/>
          <w:color w:val="231F20"/>
          <w:spacing w:val="-2"/>
        </w:rPr>
        <w:t>1</w:t>
      </w:r>
    </w:p>
    <w:p>
      <w:pPr>
        <w:pStyle w:val="Heading3"/>
        <w:spacing w:after="0"/>
        <w:rPr>
          <w:b w:val="0"/>
        </w:rPr>
        <w:sectPr>
          <w:headerReference w:type="default" r:id="rId8"/>
          <w:footerReference w:type="default" r:id="rId9"/>
          <w:pgSz w:w="11910" w:h="15880"/>
          <w:pgMar w:header="567" w:footer="573" w:top="1300" w:bottom="760" w:left="1275" w:right="1275"/>
        </w:sectPr>
      </w:pPr>
    </w:p>
    <w:p>
      <w:pPr>
        <w:spacing w:line="292" w:lineRule="auto" w:before="91"/>
        <w:ind w:left="142" w:right="140" w:firstLine="566"/>
        <w:jc w:val="left"/>
        <w:rPr>
          <w:i/>
          <w:sz w:val="20"/>
        </w:rPr>
      </w:pPr>
      <w:r>
        <w:rPr>
          <w:i/>
          <w:color w:val="231F20"/>
          <w:sz w:val="20"/>
        </w:rPr>
        <w:t>In</w:t>
      </w:r>
      <w:r>
        <w:rPr>
          <w:i/>
          <w:color w:val="231F20"/>
          <w:spacing w:val="37"/>
          <w:sz w:val="20"/>
        </w:rPr>
        <w:t> </w:t>
      </w:r>
      <w:r>
        <w:rPr>
          <w:i/>
          <w:color w:val="231F20"/>
          <w:sz w:val="20"/>
        </w:rPr>
        <w:t>this</w:t>
      </w:r>
      <w:r>
        <w:rPr>
          <w:i/>
          <w:color w:val="231F20"/>
          <w:spacing w:val="38"/>
          <w:sz w:val="20"/>
        </w:rPr>
        <w:t> </w:t>
      </w:r>
      <w:r>
        <w:rPr>
          <w:i/>
          <w:color w:val="231F20"/>
          <w:sz w:val="20"/>
        </w:rPr>
        <w:t>circular,</w:t>
      </w:r>
      <w:r>
        <w:rPr>
          <w:i/>
          <w:color w:val="231F20"/>
          <w:spacing w:val="38"/>
          <w:sz w:val="20"/>
        </w:rPr>
        <w:t> </w:t>
      </w:r>
      <w:r>
        <w:rPr>
          <w:i/>
          <w:color w:val="231F20"/>
          <w:sz w:val="20"/>
        </w:rPr>
        <w:t>the</w:t>
      </w:r>
      <w:r>
        <w:rPr>
          <w:i/>
          <w:color w:val="231F20"/>
          <w:spacing w:val="38"/>
          <w:sz w:val="20"/>
        </w:rPr>
        <w:t> </w:t>
      </w:r>
      <w:r>
        <w:rPr>
          <w:i/>
          <w:color w:val="231F20"/>
          <w:sz w:val="20"/>
        </w:rPr>
        <w:t>following</w:t>
      </w:r>
      <w:r>
        <w:rPr>
          <w:i/>
          <w:color w:val="231F20"/>
          <w:spacing w:val="38"/>
          <w:sz w:val="20"/>
        </w:rPr>
        <w:t> </w:t>
      </w:r>
      <w:r>
        <w:rPr>
          <w:i/>
          <w:color w:val="231F20"/>
          <w:sz w:val="20"/>
        </w:rPr>
        <w:t>expressions</w:t>
      </w:r>
      <w:r>
        <w:rPr>
          <w:i/>
          <w:color w:val="231F20"/>
          <w:spacing w:val="38"/>
          <w:sz w:val="20"/>
        </w:rPr>
        <w:t> </w:t>
      </w:r>
      <w:r>
        <w:rPr>
          <w:i/>
          <w:color w:val="231F20"/>
          <w:sz w:val="20"/>
        </w:rPr>
        <w:t>have</w:t>
      </w:r>
      <w:r>
        <w:rPr>
          <w:i/>
          <w:color w:val="231F20"/>
          <w:spacing w:val="38"/>
          <w:sz w:val="20"/>
        </w:rPr>
        <w:t> </w:t>
      </w:r>
      <w:r>
        <w:rPr>
          <w:i/>
          <w:color w:val="231F20"/>
          <w:sz w:val="20"/>
        </w:rPr>
        <w:t>the</w:t>
      </w:r>
      <w:r>
        <w:rPr>
          <w:i/>
          <w:color w:val="231F20"/>
          <w:spacing w:val="38"/>
          <w:sz w:val="20"/>
        </w:rPr>
        <w:t> </w:t>
      </w:r>
      <w:r>
        <w:rPr>
          <w:i/>
          <w:color w:val="231F20"/>
          <w:sz w:val="20"/>
        </w:rPr>
        <w:t>following</w:t>
      </w:r>
      <w:r>
        <w:rPr>
          <w:i/>
          <w:color w:val="231F20"/>
          <w:spacing w:val="38"/>
          <w:sz w:val="20"/>
        </w:rPr>
        <w:t> </w:t>
      </w:r>
      <w:r>
        <w:rPr>
          <w:i/>
          <w:color w:val="231F20"/>
          <w:sz w:val="20"/>
        </w:rPr>
        <w:t>meanings</w:t>
      </w:r>
      <w:r>
        <w:rPr>
          <w:i/>
          <w:color w:val="231F20"/>
          <w:spacing w:val="38"/>
          <w:sz w:val="20"/>
        </w:rPr>
        <w:t> </w:t>
      </w:r>
      <w:r>
        <w:rPr>
          <w:i/>
          <w:color w:val="231F20"/>
          <w:sz w:val="20"/>
        </w:rPr>
        <w:t>unless</w:t>
      </w:r>
      <w:r>
        <w:rPr>
          <w:i/>
          <w:color w:val="231F20"/>
          <w:spacing w:val="38"/>
          <w:sz w:val="20"/>
        </w:rPr>
        <w:t> </w:t>
      </w:r>
      <w:r>
        <w:rPr>
          <w:i/>
          <w:color w:val="231F20"/>
          <w:sz w:val="20"/>
        </w:rPr>
        <w:t>the</w:t>
      </w:r>
      <w:r>
        <w:rPr>
          <w:i/>
          <w:color w:val="231F20"/>
          <w:spacing w:val="38"/>
          <w:sz w:val="20"/>
        </w:rPr>
        <w:t> </w:t>
      </w:r>
      <w:r>
        <w:rPr>
          <w:i/>
          <w:color w:val="231F20"/>
          <w:sz w:val="20"/>
        </w:rPr>
        <w:t>context</w:t>
      </w:r>
      <w:r>
        <w:rPr>
          <w:i/>
          <w:color w:val="231F20"/>
          <w:spacing w:val="38"/>
          <w:sz w:val="20"/>
        </w:rPr>
        <w:t> </w:t>
      </w:r>
      <w:r>
        <w:rPr>
          <w:i/>
          <w:color w:val="231F20"/>
          <w:sz w:val="20"/>
        </w:rPr>
        <w:t>otherwise</w:t>
      </w:r>
      <w:r>
        <w:rPr>
          <w:i/>
          <w:color w:val="231F20"/>
          <w:sz w:val="20"/>
        </w:rPr>
        <w:t> </w:t>
      </w:r>
      <w:r>
        <w:rPr>
          <w:i/>
          <w:color w:val="231F20"/>
          <w:spacing w:val="-2"/>
          <w:sz w:val="20"/>
        </w:rPr>
        <w:t>requires:</w:t>
      </w:r>
    </w:p>
    <w:p>
      <w:pPr>
        <w:pStyle w:val="BodyText"/>
        <w:spacing w:before="49"/>
        <w:rPr>
          <w:i/>
        </w:rPr>
      </w:pPr>
    </w:p>
    <w:p>
      <w:pPr>
        <w:pStyle w:val="BodyText"/>
        <w:tabs>
          <w:tab w:pos="3657" w:val="left" w:leader="none"/>
        </w:tabs>
        <w:ind w:left="142"/>
        <w:jc w:val="both"/>
      </w:pPr>
      <w:r>
        <w:rPr>
          <w:color w:val="231F20"/>
        </w:rPr>
        <w:t>“2025</w:t>
      </w:r>
      <w:r>
        <w:rPr>
          <w:color w:val="231F20"/>
          <w:spacing w:val="35"/>
        </w:rPr>
        <w:t> </w:t>
      </w:r>
      <w:r>
        <w:rPr>
          <w:color w:val="231F20"/>
        </w:rPr>
        <w:t>Interim</w:t>
      </w:r>
      <w:r>
        <w:rPr>
          <w:color w:val="231F20"/>
          <w:spacing w:val="35"/>
        </w:rPr>
        <w:t> </w:t>
      </w:r>
      <w:r>
        <w:rPr>
          <w:color w:val="231F20"/>
          <w:spacing w:val="-2"/>
        </w:rPr>
        <w:t>Dividend”</w:t>
      </w:r>
      <w:r>
        <w:rPr>
          <w:color w:val="231F20"/>
        </w:rPr>
        <w:tab/>
        <w:t>the</w:t>
      </w:r>
      <w:r>
        <w:rPr>
          <w:color w:val="231F20"/>
          <w:spacing w:val="15"/>
        </w:rPr>
        <w:t> </w:t>
      </w:r>
      <w:r>
        <w:rPr>
          <w:color w:val="231F20"/>
        </w:rPr>
        <w:t>proposed</w:t>
      </w:r>
      <w:r>
        <w:rPr>
          <w:color w:val="231F20"/>
          <w:spacing w:val="15"/>
        </w:rPr>
        <w:t> </w:t>
      </w:r>
      <w:r>
        <w:rPr>
          <w:color w:val="231F20"/>
        </w:rPr>
        <w:t>distribution</w:t>
      </w:r>
      <w:r>
        <w:rPr>
          <w:color w:val="231F20"/>
          <w:spacing w:val="15"/>
        </w:rPr>
        <w:t> </w:t>
      </w:r>
      <w:r>
        <w:rPr>
          <w:color w:val="231F20"/>
        </w:rPr>
        <w:t>of</w:t>
      </w:r>
      <w:r>
        <w:rPr>
          <w:color w:val="231F20"/>
          <w:spacing w:val="15"/>
        </w:rPr>
        <w:t> </w:t>
      </w:r>
      <w:r>
        <w:rPr>
          <w:color w:val="231F20"/>
        </w:rPr>
        <w:t>an</w:t>
      </w:r>
      <w:r>
        <w:rPr>
          <w:color w:val="231F20"/>
          <w:spacing w:val="15"/>
        </w:rPr>
        <w:t> </w:t>
      </w:r>
      <w:r>
        <w:rPr>
          <w:color w:val="231F20"/>
        </w:rPr>
        <w:t>interim</w:t>
      </w:r>
      <w:r>
        <w:rPr>
          <w:color w:val="231F20"/>
          <w:spacing w:val="15"/>
        </w:rPr>
        <w:t> </w:t>
      </w:r>
      <w:r>
        <w:rPr>
          <w:color w:val="231F20"/>
        </w:rPr>
        <w:t>dividend</w:t>
      </w:r>
      <w:r>
        <w:rPr>
          <w:color w:val="231F20"/>
          <w:spacing w:val="15"/>
        </w:rPr>
        <w:t> </w:t>
      </w:r>
      <w:r>
        <w:rPr>
          <w:color w:val="231F20"/>
        </w:rPr>
        <w:t>for</w:t>
      </w:r>
      <w:r>
        <w:rPr>
          <w:color w:val="231F20"/>
          <w:spacing w:val="15"/>
        </w:rPr>
        <w:t> </w:t>
      </w:r>
      <w:r>
        <w:rPr>
          <w:color w:val="231F20"/>
        </w:rPr>
        <w:t>the</w:t>
      </w:r>
      <w:r>
        <w:rPr>
          <w:color w:val="231F20"/>
          <w:spacing w:val="15"/>
        </w:rPr>
        <w:t> </w:t>
      </w:r>
      <w:r>
        <w:rPr>
          <w:color w:val="231F20"/>
        </w:rPr>
        <w:t>six</w:t>
      </w:r>
      <w:r>
        <w:rPr>
          <w:color w:val="231F20"/>
          <w:spacing w:val="15"/>
        </w:rPr>
        <w:t> </w:t>
      </w:r>
      <w:r>
        <w:rPr>
          <w:color w:val="231F20"/>
          <w:spacing w:val="-2"/>
        </w:rPr>
        <w:t>months</w:t>
      </w:r>
    </w:p>
    <w:p>
      <w:pPr>
        <w:pStyle w:val="BodyText"/>
        <w:spacing w:line="292" w:lineRule="auto" w:before="50"/>
        <w:ind w:left="3657" w:right="129"/>
        <w:jc w:val="both"/>
      </w:pPr>
      <w:r>
        <w:rPr>
          <w:color w:val="231F20"/>
        </w:rPr>
        <w:t>ended June 30, 2025, of RMB0.18 per Share (tax inclusive) </w:t>
      </w:r>
      <w:r>
        <w:rPr>
          <w:color w:val="231F20"/>
        </w:rPr>
        <w:t>as described in the unaudited interim results announcement of the Company dated August 21, 2025;</w:t>
      </w:r>
    </w:p>
    <w:p>
      <w:pPr>
        <w:pStyle w:val="BodyText"/>
        <w:spacing w:before="48"/>
      </w:pPr>
    </w:p>
    <w:p>
      <w:pPr>
        <w:pStyle w:val="BodyText"/>
        <w:tabs>
          <w:tab w:pos="3657" w:val="left" w:leader="none"/>
        </w:tabs>
        <w:ind w:left="142"/>
        <w:jc w:val="both"/>
      </w:pPr>
      <w:r>
        <w:rPr>
          <w:color w:val="231F20"/>
        </w:rPr>
        <w:t>“2025</w:t>
      </w:r>
      <w:r>
        <w:rPr>
          <w:color w:val="231F20"/>
          <w:spacing w:val="32"/>
        </w:rPr>
        <w:t> </w:t>
      </w:r>
      <w:r>
        <w:rPr>
          <w:color w:val="231F20"/>
        </w:rPr>
        <w:t>Second</w:t>
      </w:r>
      <w:r>
        <w:rPr>
          <w:color w:val="231F20"/>
          <w:spacing w:val="33"/>
        </w:rPr>
        <w:t> </w:t>
      </w:r>
      <w:r>
        <w:rPr>
          <w:color w:val="231F20"/>
          <w:spacing w:val="-4"/>
        </w:rPr>
        <w:t>EGM”</w:t>
      </w:r>
      <w:r>
        <w:rPr>
          <w:color w:val="231F20"/>
        </w:rPr>
        <w:tab/>
        <w:t>the</w:t>
      </w:r>
      <w:r>
        <w:rPr>
          <w:color w:val="231F20"/>
          <w:spacing w:val="49"/>
        </w:rPr>
        <w:t> </w:t>
      </w:r>
      <w:r>
        <w:rPr>
          <w:color w:val="231F20"/>
        </w:rPr>
        <w:t>2025</w:t>
      </w:r>
      <w:r>
        <w:rPr>
          <w:color w:val="231F20"/>
          <w:spacing w:val="50"/>
        </w:rPr>
        <w:t> </w:t>
      </w:r>
      <w:r>
        <w:rPr>
          <w:color w:val="231F20"/>
        </w:rPr>
        <w:t>second</w:t>
      </w:r>
      <w:r>
        <w:rPr>
          <w:color w:val="231F20"/>
          <w:spacing w:val="49"/>
        </w:rPr>
        <w:t> </w:t>
      </w:r>
      <w:r>
        <w:rPr>
          <w:color w:val="231F20"/>
        </w:rPr>
        <w:t>extraordinary</w:t>
      </w:r>
      <w:r>
        <w:rPr>
          <w:color w:val="231F20"/>
          <w:spacing w:val="48"/>
        </w:rPr>
        <w:t> </w:t>
      </w:r>
      <w:r>
        <w:rPr>
          <w:color w:val="231F20"/>
        </w:rPr>
        <w:t>general</w:t>
      </w:r>
      <w:r>
        <w:rPr>
          <w:color w:val="231F20"/>
          <w:spacing w:val="50"/>
        </w:rPr>
        <w:t> </w:t>
      </w:r>
      <w:r>
        <w:rPr>
          <w:color w:val="231F20"/>
        </w:rPr>
        <w:t>meeting</w:t>
      </w:r>
      <w:r>
        <w:rPr>
          <w:color w:val="231F20"/>
          <w:spacing w:val="49"/>
        </w:rPr>
        <w:t> </w:t>
      </w:r>
      <w:r>
        <w:rPr>
          <w:color w:val="231F20"/>
        </w:rPr>
        <w:t>of</w:t>
      </w:r>
      <w:r>
        <w:rPr>
          <w:color w:val="231F20"/>
          <w:spacing w:val="50"/>
        </w:rPr>
        <w:t> </w:t>
      </w:r>
      <w:r>
        <w:rPr>
          <w:color w:val="231F20"/>
        </w:rPr>
        <w:t>the</w:t>
      </w:r>
      <w:r>
        <w:rPr>
          <w:color w:val="231F20"/>
          <w:spacing w:val="50"/>
        </w:rPr>
        <w:t> </w:t>
      </w:r>
      <w:r>
        <w:rPr>
          <w:color w:val="231F20"/>
          <w:spacing w:val="-2"/>
        </w:rPr>
        <w:t>Company</w:t>
      </w:r>
    </w:p>
    <w:p>
      <w:pPr>
        <w:pStyle w:val="BodyText"/>
        <w:spacing w:line="292" w:lineRule="auto" w:before="50"/>
        <w:ind w:left="3657" w:right="131"/>
        <w:jc w:val="both"/>
      </w:pPr>
      <w:r>
        <w:rPr>
          <w:color w:val="231F20"/>
        </w:rPr>
        <w:t>to</w:t>
      </w:r>
      <w:r>
        <w:rPr>
          <w:color w:val="231F20"/>
          <w:spacing w:val="40"/>
        </w:rPr>
        <w:t> </w:t>
      </w:r>
      <w:r>
        <w:rPr>
          <w:color w:val="231F20"/>
        </w:rPr>
        <w:t>be</w:t>
      </w:r>
      <w:r>
        <w:rPr>
          <w:color w:val="231F20"/>
          <w:spacing w:val="40"/>
        </w:rPr>
        <w:t> </w:t>
      </w:r>
      <w:r>
        <w:rPr>
          <w:color w:val="231F20"/>
        </w:rPr>
        <w:t>held</w:t>
      </w:r>
      <w:r>
        <w:rPr>
          <w:color w:val="231F20"/>
          <w:spacing w:val="40"/>
        </w:rPr>
        <w:t> </w:t>
      </w:r>
      <w:r>
        <w:rPr>
          <w:color w:val="231F20"/>
        </w:rPr>
        <w:t>at</w:t>
      </w:r>
      <w:r>
        <w:rPr>
          <w:color w:val="231F20"/>
          <w:spacing w:val="40"/>
        </w:rPr>
        <w:t> </w:t>
      </w:r>
      <w:r>
        <w:rPr>
          <w:color w:val="231F20"/>
        </w:rPr>
        <w:t>38th</w:t>
      </w:r>
      <w:r>
        <w:rPr>
          <w:color w:val="231F20"/>
          <w:spacing w:val="40"/>
        </w:rPr>
        <w:t> </w:t>
      </w:r>
      <w:r>
        <w:rPr>
          <w:color w:val="231F20"/>
        </w:rPr>
        <w:t>Floor,</w:t>
      </w:r>
      <w:r>
        <w:rPr>
          <w:color w:val="231F20"/>
          <w:spacing w:val="40"/>
        </w:rPr>
        <w:t> </w:t>
      </w:r>
      <w:r>
        <w:rPr>
          <w:color w:val="231F20"/>
        </w:rPr>
        <w:t>Yuzhou</w:t>
      </w:r>
      <w:r>
        <w:rPr>
          <w:color w:val="231F20"/>
          <w:spacing w:val="40"/>
        </w:rPr>
        <w:t> </w:t>
      </w:r>
      <w:r>
        <w:rPr>
          <w:color w:val="231F20"/>
        </w:rPr>
        <w:t>Plaza,</w:t>
      </w:r>
      <w:r>
        <w:rPr>
          <w:color w:val="231F20"/>
          <w:spacing w:val="40"/>
        </w:rPr>
        <w:t> </w:t>
      </w:r>
      <w:r>
        <w:rPr>
          <w:color w:val="231F20"/>
        </w:rPr>
        <w:t>No.</w:t>
      </w:r>
      <w:r>
        <w:rPr>
          <w:color w:val="231F20"/>
          <w:spacing w:val="40"/>
        </w:rPr>
        <w:t> </w:t>
      </w:r>
      <w:r>
        <w:rPr>
          <w:color w:val="231F20"/>
        </w:rPr>
        <w:t>55,</w:t>
      </w:r>
      <w:r>
        <w:rPr>
          <w:color w:val="231F20"/>
          <w:spacing w:val="40"/>
        </w:rPr>
        <w:t> </w:t>
      </w:r>
      <w:r>
        <w:rPr>
          <w:color w:val="231F20"/>
        </w:rPr>
        <w:t>Hubin</w:t>
      </w:r>
      <w:r>
        <w:rPr>
          <w:color w:val="231F20"/>
          <w:spacing w:val="40"/>
        </w:rPr>
        <w:t> </w:t>
      </w:r>
      <w:r>
        <w:rPr>
          <w:color w:val="231F20"/>
        </w:rPr>
        <w:t>South Road, Siming District, Xiamen, the PRC at 2:30 p.m. on </w:t>
      </w:r>
      <w:r>
        <w:rPr>
          <w:color w:val="231F20"/>
        </w:rPr>
        <w:t>Monday, September 8, 2025;</w:t>
      </w:r>
    </w:p>
    <w:p>
      <w:pPr>
        <w:pStyle w:val="BodyText"/>
        <w:spacing w:before="48"/>
      </w:pPr>
    </w:p>
    <w:p>
      <w:pPr>
        <w:pStyle w:val="BodyText"/>
        <w:tabs>
          <w:tab w:pos="3657" w:val="left" w:leader="none"/>
        </w:tabs>
        <w:spacing w:line="292" w:lineRule="auto" w:before="1"/>
        <w:ind w:left="3657" w:right="134" w:hanging="3515"/>
        <w:jc w:val="both"/>
      </w:pPr>
      <w:r>
        <w:rPr>
          <w:color w:val="231F20"/>
        </w:rPr>
        <w:t>“A Share(s)”</w:t>
        <w:tab/>
        <w:t>the ordinary share(s) with a par value of RMB1.00 each in the share capital of the Company which are listed on the Shenzhen Stock Exchange,</w:t>
      </w:r>
      <w:r>
        <w:rPr>
          <w:color w:val="231F20"/>
          <w:spacing w:val="40"/>
        </w:rPr>
        <w:t> </w:t>
      </w:r>
      <w:r>
        <w:rPr>
          <w:color w:val="231F20"/>
        </w:rPr>
        <w:t>and</w:t>
      </w:r>
      <w:r>
        <w:rPr>
          <w:color w:val="231F20"/>
          <w:spacing w:val="40"/>
        </w:rPr>
        <w:t> </w:t>
      </w:r>
      <w:r>
        <w:rPr>
          <w:color w:val="231F20"/>
        </w:rPr>
        <w:t>are</w:t>
      </w:r>
      <w:r>
        <w:rPr>
          <w:color w:val="231F20"/>
          <w:spacing w:val="40"/>
        </w:rPr>
        <w:t> </w:t>
      </w:r>
      <w:r>
        <w:rPr>
          <w:color w:val="231F20"/>
        </w:rPr>
        <w:t>subscribed</w:t>
      </w:r>
      <w:r>
        <w:rPr>
          <w:color w:val="231F20"/>
          <w:spacing w:val="40"/>
        </w:rPr>
        <w:t> </w:t>
      </w:r>
      <w:r>
        <w:rPr>
          <w:color w:val="231F20"/>
        </w:rPr>
        <w:t>for</w:t>
      </w:r>
      <w:r>
        <w:rPr>
          <w:color w:val="231F20"/>
          <w:spacing w:val="40"/>
        </w:rPr>
        <w:t> </w:t>
      </w:r>
      <w:r>
        <w:rPr>
          <w:color w:val="231F20"/>
        </w:rPr>
        <w:t>and</w:t>
      </w:r>
      <w:r>
        <w:rPr>
          <w:color w:val="231F20"/>
          <w:spacing w:val="40"/>
        </w:rPr>
        <w:t> </w:t>
      </w:r>
      <w:r>
        <w:rPr>
          <w:color w:val="231F20"/>
        </w:rPr>
        <w:t>traded</w:t>
      </w:r>
      <w:r>
        <w:rPr>
          <w:color w:val="231F20"/>
          <w:spacing w:val="40"/>
        </w:rPr>
        <w:t> </w:t>
      </w:r>
      <w:r>
        <w:rPr>
          <w:color w:val="231F20"/>
        </w:rPr>
        <w:t>in</w:t>
      </w:r>
      <w:r>
        <w:rPr>
          <w:color w:val="231F20"/>
          <w:spacing w:val="40"/>
        </w:rPr>
        <w:t> </w:t>
      </w:r>
      <w:r>
        <w:rPr>
          <w:color w:val="231F20"/>
        </w:rPr>
        <w:t>RMB;</w:t>
      </w:r>
    </w:p>
    <w:p>
      <w:pPr>
        <w:pStyle w:val="BodyText"/>
        <w:spacing w:before="48"/>
      </w:pPr>
    </w:p>
    <w:p>
      <w:pPr>
        <w:pStyle w:val="BodyText"/>
        <w:tabs>
          <w:tab w:pos="3657" w:val="left" w:leader="none"/>
        </w:tabs>
        <w:ind w:left="142"/>
        <w:jc w:val="both"/>
      </w:pPr>
      <w:r>
        <w:rPr>
          <w:color w:val="231F20"/>
        </w:rPr>
        <w:t>“Articles</w:t>
      </w:r>
      <w:r>
        <w:rPr>
          <w:color w:val="231F20"/>
          <w:spacing w:val="32"/>
        </w:rPr>
        <w:t> </w:t>
      </w:r>
      <w:r>
        <w:rPr>
          <w:color w:val="231F20"/>
        </w:rPr>
        <w:t>of</w:t>
      </w:r>
      <w:r>
        <w:rPr>
          <w:color w:val="231F20"/>
          <w:spacing w:val="33"/>
        </w:rPr>
        <w:t> </w:t>
      </w:r>
      <w:r>
        <w:rPr>
          <w:color w:val="231F20"/>
          <w:spacing w:val="-2"/>
        </w:rPr>
        <w:t>Association”</w:t>
      </w:r>
      <w:r>
        <w:rPr>
          <w:color w:val="231F20"/>
        </w:rPr>
        <w:tab/>
        <w:t>the</w:t>
      </w:r>
      <w:r>
        <w:rPr>
          <w:color w:val="231F20"/>
          <w:spacing w:val="27"/>
        </w:rPr>
        <w:t> </w:t>
      </w:r>
      <w:r>
        <w:rPr>
          <w:color w:val="231F20"/>
        </w:rPr>
        <w:t>articles</w:t>
      </w:r>
      <w:r>
        <w:rPr>
          <w:color w:val="231F20"/>
          <w:spacing w:val="29"/>
        </w:rPr>
        <w:t> </w:t>
      </w:r>
      <w:r>
        <w:rPr>
          <w:color w:val="231F20"/>
        </w:rPr>
        <w:t>of</w:t>
      </w:r>
      <w:r>
        <w:rPr>
          <w:color w:val="231F20"/>
          <w:spacing w:val="29"/>
        </w:rPr>
        <w:t> </w:t>
      </w:r>
      <w:r>
        <w:rPr>
          <w:color w:val="231F20"/>
        </w:rPr>
        <w:t>association</w:t>
      </w:r>
      <w:r>
        <w:rPr>
          <w:color w:val="231F20"/>
          <w:spacing w:val="29"/>
        </w:rPr>
        <w:t> </w:t>
      </w:r>
      <w:r>
        <w:rPr>
          <w:color w:val="231F20"/>
        </w:rPr>
        <w:t>of</w:t>
      </w:r>
      <w:r>
        <w:rPr>
          <w:color w:val="231F20"/>
          <w:spacing w:val="29"/>
        </w:rPr>
        <w:t> </w:t>
      </w:r>
      <w:r>
        <w:rPr>
          <w:color w:val="231F20"/>
        </w:rPr>
        <w:t>the</w:t>
      </w:r>
      <w:r>
        <w:rPr>
          <w:color w:val="231F20"/>
          <w:spacing w:val="29"/>
        </w:rPr>
        <w:t> </w:t>
      </w:r>
      <w:r>
        <w:rPr>
          <w:color w:val="231F20"/>
        </w:rPr>
        <w:t>Company,</w:t>
      </w:r>
      <w:r>
        <w:rPr>
          <w:color w:val="231F20"/>
          <w:spacing w:val="29"/>
        </w:rPr>
        <w:t> </w:t>
      </w:r>
      <w:r>
        <w:rPr>
          <w:color w:val="231F20"/>
        </w:rPr>
        <w:t>as</w:t>
      </w:r>
      <w:r>
        <w:rPr>
          <w:color w:val="231F20"/>
          <w:spacing w:val="29"/>
        </w:rPr>
        <w:t> </w:t>
      </w:r>
      <w:r>
        <w:rPr>
          <w:color w:val="231F20"/>
        </w:rPr>
        <w:t>amended</w:t>
      </w:r>
      <w:r>
        <w:rPr>
          <w:color w:val="231F20"/>
          <w:spacing w:val="29"/>
        </w:rPr>
        <w:t> </w:t>
      </w:r>
      <w:r>
        <w:rPr>
          <w:color w:val="231F20"/>
        </w:rPr>
        <w:t>from</w:t>
      </w:r>
      <w:r>
        <w:rPr>
          <w:color w:val="231F20"/>
          <w:spacing w:val="29"/>
        </w:rPr>
        <w:t> </w:t>
      </w:r>
      <w:r>
        <w:rPr>
          <w:color w:val="231F20"/>
          <w:spacing w:val="-4"/>
        </w:rPr>
        <w:t>time</w:t>
      </w:r>
    </w:p>
    <w:p>
      <w:pPr>
        <w:pStyle w:val="BodyText"/>
        <w:spacing w:before="50"/>
        <w:ind w:left="3657"/>
        <w:jc w:val="both"/>
      </w:pPr>
      <w:r>
        <w:rPr>
          <w:color w:val="231F20"/>
        </w:rPr>
        <w:t>to</w:t>
      </w:r>
      <w:r>
        <w:rPr>
          <w:color w:val="231F20"/>
          <w:spacing w:val="15"/>
        </w:rPr>
        <w:t> </w:t>
      </w:r>
      <w:r>
        <w:rPr>
          <w:color w:val="231F20"/>
          <w:spacing w:val="-2"/>
        </w:rPr>
        <w:t>time;</w:t>
      </w:r>
    </w:p>
    <w:p>
      <w:pPr>
        <w:pStyle w:val="BodyText"/>
        <w:spacing w:before="100"/>
      </w:pPr>
    </w:p>
    <w:p>
      <w:pPr>
        <w:pStyle w:val="BodyText"/>
        <w:tabs>
          <w:tab w:pos="3657" w:val="left" w:leader="none"/>
        </w:tabs>
        <w:ind w:left="142"/>
        <w:jc w:val="both"/>
      </w:pPr>
      <w:r>
        <w:rPr>
          <w:color w:val="231F20"/>
          <w:spacing w:val="-2"/>
        </w:rPr>
        <w:t>“Board”</w:t>
      </w:r>
      <w:r>
        <w:rPr>
          <w:color w:val="231F20"/>
        </w:rPr>
        <w:tab/>
        <w:t>the</w:t>
      </w:r>
      <w:r>
        <w:rPr>
          <w:color w:val="231F20"/>
          <w:spacing w:val="25"/>
        </w:rPr>
        <w:t> </w:t>
      </w:r>
      <w:r>
        <w:rPr>
          <w:color w:val="231F20"/>
        </w:rPr>
        <w:t>board</w:t>
      </w:r>
      <w:r>
        <w:rPr>
          <w:color w:val="231F20"/>
          <w:spacing w:val="25"/>
        </w:rPr>
        <w:t> </w:t>
      </w:r>
      <w:r>
        <w:rPr>
          <w:color w:val="231F20"/>
        </w:rPr>
        <w:t>of</w:t>
      </w:r>
      <w:r>
        <w:rPr>
          <w:color w:val="231F20"/>
          <w:spacing w:val="25"/>
        </w:rPr>
        <w:t> </w:t>
      </w:r>
      <w:r>
        <w:rPr>
          <w:color w:val="231F20"/>
        </w:rPr>
        <w:t>Directors</w:t>
      </w:r>
      <w:r>
        <w:rPr>
          <w:color w:val="231F20"/>
          <w:spacing w:val="25"/>
        </w:rPr>
        <w:t> </w:t>
      </w:r>
      <w:r>
        <w:rPr>
          <w:color w:val="231F20"/>
        </w:rPr>
        <w:t>of</w:t>
      </w:r>
      <w:r>
        <w:rPr>
          <w:color w:val="231F20"/>
          <w:spacing w:val="25"/>
        </w:rPr>
        <w:t> </w:t>
      </w:r>
      <w:r>
        <w:rPr>
          <w:color w:val="231F20"/>
        </w:rPr>
        <w:t>the</w:t>
      </w:r>
      <w:r>
        <w:rPr>
          <w:color w:val="231F20"/>
          <w:spacing w:val="25"/>
        </w:rPr>
        <w:t> </w:t>
      </w:r>
      <w:r>
        <w:rPr>
          <w:color w:val="231F20"/>
          <w:spacing w:val="-2"/>
        </w:rPr>
        <w:t>Company;</w:t>
      </w:r>
    </w:p>
    <w:p>
      <w:pPr>
        <w:pStyle w:val="BodyText"/>
        <w:spacing w:before="63"/>
      </w:pPr>
    </w:p>
    <w:p>
      <w:pPr>
        <w:pStyle w:val="BodyText"/>
        <w:tabs>
          <w:tab w:pos="3657" w:val="left" w:leader="none"/>
        </w:tabs>
        <w:spacing w:line="280" w:lineRule="exact"/>
        <w:ind w:left="3657" w:right="132" w:hanging="3515"/>
        <w:jc w:val="both"/>
      </w:pPr>
      <w:r>
        <w:rPr>
          <w:color w:val="231F20"/>
          <w:spacing w:val="-2"/>
        </w:rPr>
        <w:t>“Company”</w:t>
      </w:r>
      <w:r>
        <w:rPr>
          <w:color w:val="231F20"/>
        </w:rPr>
        <w:tab/>
        <w:t>Xiamen Jihong Co., Ltd (</w:t>
      </w:r>
      <w:r>
        <w:rPr>
          <w:rFonts w:ascii="新細明體" w:hAnsi="新細明體" w:eastAsia="新細明體"/>
          <w:color w:val="231F20"/>
        </w:rPr>
        <w:t>廈門吉宏科技股份有限公司</w:t>
      </w:r>
      <w:r>
        <w:rPr>
          <w:color w:val="231F20"/>
        </w:rPr>
        <w:t>), a </w:t>
      </w:r>
      <w:r>
        <w:rPr>
          <w:color w:val="231F20"/>
        </w:rPr>
        <w:t>joint- stock company with limited liability incorporated in the PRC, the shares of which are listed on the Shenzhen Stock Exchange and the Main Board of the Stock Exchange;</w:t>
      </w:r>
    </w:p>
    <w:p>
      <w:pPr>
        <w:pStyle w:val="BodyText"/>
        <w:spacing w:before="87"/>
      </w:pPr>
    </w:p>
    <w:p>
      <w:pPr>
        <w:pStyle w:val="BodyText"/>
        <w:tabs>
          <w:tab w:pos="3657" w:val="left" w:leader="none"/>
        </w:tabs>
        <w:ind w:left="142"/>
        <w:jc w:val="both"/>
      </w:pPr>
      <w:r>
        <w:rPr>
          <w:color w:val="231F20"/>
          <w:spacing w:val="-2"/>
        </w:rPr>
        <w:t>“Director(s)”</w:t>
      </w:r>
      <w:r>
        <w:rPr>
          <w:color w:val="231F20"/>
        </w:rPr>
        <w:tab/>
        <w:t>the</w:t>
      </w:r>
      <w:r>
        <w:rPr>
          <w:color w:val="231F20"/>
          <w:spacing w:val="28"/>
        </w:rPr>
        <w:t> </w:t>
      </w:r>
      <w:r>
        <w:rPr>
          <w:color w:val="231F20"/>
        </w:rPr>
        <w:t>director(s)</w:t>
      </w:r>
      <w:r>
        <w:rPr>
          <w:color w:val="231F20"/>
          <w:spacing w:val="29"/>
        </w:rPr>
        <w:t> </w:t>
      </w:r>
      <w:r>
        <w:rPr>
          <w:color w:val="231F20"/>
        </w:rPr>
        <w:t>of</w:t>
      </w:r>
      <w:r>
        <w:rPr>
          <w:color w:val="231F20"/>
          <w:spacing w:val="29"/>
        </w:rPr>
        <w:t> </w:t>
      </w:r>
      <w:r>
        <w:rPr>
          <w:color w:val="231F20"/>
        </w:rPr>
        <w:t>the</w:t>
      </w:r>
      <w:r>
        <w:rPr>
          <w:color w:val="231F20"/>
          <w:spacing w:val="29"/>
        </w:rPr>
        <w:t> </w:t>
      </w:r>
      <w:r>
        <w:rPr>
          <w:color w:val="231F20"/>
          <w:spacing w:val="-2"/>
        </w:rPr>
        <w:t>Company;</w:t>
      </w:r>
    </w:p>
    <w:p>
      <w:pPr>
        <w:pStyle w:val="BodyText"/>
        <w:spacing w:before="100"/>
      </w:pPr>
    </w:p>
    <w:p>
      <w:pPr>
        <w:pStyle w:val="BodyText"/>
        <w:tabs>
          <w:tab w:pos="3657" w:val="left" w:leader="none"/>
        </w:tabs>
        <w:spacing w:line="292" w:lineRule="auto"/>
        <w:ind w:left="3657" w:right="134" w:hanging="3515"/>
        <w:jc w:val="both"/>
      </w:pPr>
      <w:r>
        <w:rPr>
          <w:color w:val="231F20"/>
        </w:rPr>
        <w:t>“H Share(s)”</w:t>
        <w:tab/>
        <w:t>overseas</w:t>
      </w:r>
      <w:r>
        <w:rPr>
          <w:color w:val="231F20"/>
          <w:spacing w:val="22"/>
        </w:rPr>
        <w:t> </w:t>
      </w:r>
      <w:r>
        <w:rPr>
          <w:color w:val="231F20"/>
        </w:rPr>
        <w:t>listed</w:t>
      </w:r>
      <w:r>
        <w:rPr>
          <w:color w:val="231F20"/>
          <w:spacing w:val="23"/>
        </w:rPr>
        <w:t> </w:t>
      </w:r>
      <w:r>
        <w:rPr>
          <w:color w:val="231F20"/>
        </w:rPr>
        <w:t>foreign</w:t>
      </w:r>
      <w:r>
        <w:rPr>
          <w:color w:val="231F20"/>
          <w:spacing w:val="23"/>
        </w:rPr>
        <w:t> </w:t>
      </w:r>
      <w:r>
        <w:rPr>
          <w:color w:val="231F20"/>
        </w:rPr>
        <w:t>share(s)</w:t>
      </w:r>
      <w:r>
        <w:rPr>
          <w:color w:val="231F20"/>
          <w:spacing w:val="23"/>
        </w:rPr>
        <w:t> </w:t>
      </w:r>
      <w:r>
        <w:rPr>
          <w:color w:val="231F20"/>
        </w:rPr>
        <w:t>with</w:t>
      </w:r>
      <w:r>
        <w:rPr>
          <w:color w:val="231F20"/>
          <w:spacing w:val="23"/>
        </w:rPr>
        <w:t> </w:t>
      </w:r>
      <w:r>
        <w:rPr>
          <w:color w:val="231F20"/>
        </w:rPr>
        <w:t>a</w:t>
      </w:r>
      <w:r>
        <w:rPr>
          <w:color w:val="231F20"/>
          <w:spacing w:val="23"/>
        </w:rPr>
        <w:t> </w:t>
      </w:r>
      <w:r>
        <w:rPr>
          <w:color w:val="231F20"/>
        </w:rPr>
        <w:t>par</w:t>
      </w:r>
      <w:r>
        <w:rPr>
          <w:color w:val="231F20"/>
          <w:spacing w:val="23"/>
        </w:rPr>
        <w:t> </w:t>
      </w:r>
      <w:r>
        <w:rPr>
          <w:color w:val="231F20"/>
        </w:rPr>
        <w:t>value</w:t>
      </w:r>
      <w:r>
        <w:rPr>
          <w:color w:val="231F20"/>
          <w:spacing w:val="23"/>
        </w:rPr>
        <w:t> </w:t>
      </w:r>
      <w:r>
        <w:rPr>
          <w:color w:val="231F20"/>
        </w:rPr>
        <w:t>of</w:t>
      </w:r>
      <w:r>
        <w:rPr>
          <w:color w:val="231F20"/>
          <w:spacing w:val="23"/>
        </w:rPr>
        <w:t> </w:t>
      </w:r>
      <w:r>
        <w:rPr>
          <w:color w:val="231F20"/>
        </w:rPr>
        <w:t>RMB1.00</w:t>
      </w:r>
      <w:r>
        <w:rPr>
          <w:color w:val="231F20"/>
          <w:spacing w:val="23"/>
        </w:rPr>
        <w:t> </w:t>
      </w:r>
      <w:r>
        <w:rPr>
          <w:color w:val="231F20"/>
        </w:rPr>
        <w:t>each in the share capital of the Company which are listed on the Stock Exchange</w:t>
      </w:r>
      <w:r>
        <w:rPr>
          <w:color w:val="231F20"/>
          <w:spacing w:val="16"/>
        </w:rPr>
        <w:t> </w:t>
      </w:r>
      <w:r>
        <w:rPr>
          <w:color w:val="231F20"/>
        </w:rPr>
        <w:t>and</w:t>
      </w:r>
      <w:r>
        <w:rPr>
          <w:color w:val="231F20"/>
          <w:spacing w:val="18"/>
        </w:rPr>
        <w:t> </w:t>
      </w:r>
      <w:r>
        <w:rPr>
          <w:color w:val="231F20"/>
        </w:rPr>
        <w:t>are</w:t>
      </w:r>
      <w:r>
        <w:rPr>
          <w:color w:val="231F20"/>
          <w:spacing w:val="18"/>
        </w:rPr>
        <w:t> </w:t>
      </w:r>
      <w:r>
        <w:rPr>
          <w:color w:val="231F20"/>
        </w:rPr>
        <w:t>subscribed</w:t>
      </w:r>
      <w:r>
        <w:rPr>
          <w:color w:val="231F20"/>
          <w:spacing w:val="18"/>
        </w:rPr>
        <w:t> </w:t>
      </w:r>
      <w:r>
        <w:rPr>
          <w:color w:val="231F20"/>
        </w:rPr>
        <w:t>for</w:t>
      </w:r>
      <w:r>
        <w:rPr>
          <w:color w:val="231F20"/>
          <w:spacing w:val="18"/>
        </w:rPr>
        <w:t> </w:t>
      </w:r>
      <w:r>
        <w:rPr>
          <w:color w:val="231F20"/>
        </w:rPr>
        <w:t>and</w:t>
      </w:r>
      <w:r>
        <w:rPr>
          <w:color w:val="231F20"/>
          <w:spacing w:val="18"/>
        </w:rPr>
        <w:t> </w:t>
      </w:r>
      <w:r>
        <w:rPr>
          <w:color w:val="231F20"/>
        </w:rPr>
        <w:t>traded</w:t>
      </w:r>
      <w:r>
        <w:rPr>
          <w:color w:val="231F20"/>
          <w:spacing w:val="18"/>
        </w:rPr>
        <w:t> </w:t>
      </w:r>
      <w:r>
        <w:rPr>
          <w:color w:val="231F20"/>
        </w:rPr>
        <w:t>in</w:t>
      </w:r>
      <w:r>
        <w:rPr>
          <w:color w:val="231F20"/>
          <w:spacing w:val="18"/>
        </w:rPr>
        <w:t> </w:t>
      </w:r>
      <w:r>
        <w:rPr>
          <w:color w:val="231F20"/>
        </w:rPr>
        <w:t>Hong</w:t>
      </w:r>
      <w:r>
        <w:rPr>
          <w:color w:val="231F20"/>
          <w:spacing w:val="18"/>
        </w:rPr>
        <w:t> </w:t>
      </w:r>
      <w:r>
        <w:rPr>
          <w:color w:val="231F20"/>
        </w:rPr>
        <w:t>Kong</w:t>
      </w:r>
      <w:r>
        <w:rPr>
          <w:color w:val="231F20"/>
          <w:spacing w:val="18"/>
        </w:rPr>
        <w:t> </w:t>
      </w:r>
      <w:r>
        <w:rPr>
          <w:color w:val="231F20"/>
          <w:spacing w:val="-2"/>
        </w:rPr>
        <w:t>dollars;</w:t>
      </w:r>
    </w:p>
    <w:p>
      <w:pPr>
        <w:pStyle w:val="BodyText"/>
        <w:spacing w:before="48"/>
      </w:pPr>
    </w:p>
    <w:p>
      <w:pPr>
        <w:pStyle w:val="BodyText"/>
        <w:tabs>
          <w:tab w:pos="3657" w:val="left" w:leader="none"/>
        </w:tabs>
        <w:ind w:left="142"/>
        <w:jc w:val="both"/>
      </w:pPr>
      <w:r>
        <w:rPr>
          <w:color w:val="231F20"/>
        </w:rPr>
        <w:t>“Hong</w:t>
      </w:r>
      <w:r>
        <w:rPr>
          <w:color w:val="231F20"/>
          <w:spacing w:val="24"/>
        </w:rPr>
        <w:t> </w:t>
      </w:r>
      <w:r>
        <w:rPr>
          <w:color w:val="231F20"/>
          <w:spacing w:val="-2"/>
        </w:rPr>
        <w:t>Kong”</w:t>
      </w:r>
      <w:r>
        <w:rPr>
          <w:color w:val="231F20"/>
        </w:rPr>
        <w:tab/>
        <w:t>the</w:t>
      </w:r>
      <w:r>
        <w:rPr>
          <w:color w:val="231F20"/>
          <w:spacing w:val="31"/>
        </w:rPr>
        <w:t> </w:t>
      </w:r>
      <w:r>
        <w:rPr>
          <w:color w:val="231F20"/>
        </w:rPr>
        <w:t>Hong</w:t>
      </w:r>
      <w:r>
        <w:rPr>
          <w:color w:val="231F20"/>
          <w:spacing w:val="32"/>
        </w:rPr>
        <w:t> </w:t>
      </w:r>
      <w:r>
        <w:rPr>
          <w:color w:val="231F20"/>
        </w:rPr>
        <w:t>Kong</w:t>
      </w:r>
      <w:r>
        <w:rPr>
          <w:color w:val="231F20"/>
          <w:spacing w:val="32"/>
        </w:rPr>
        <w:t> </w:t>
      </w:r>
      <w:r>
        <w:rPr>
          <w:color w:val="231F20"/>
        </w:rPr>
        <w:t>Special</w:t>
      </w:r>
      <w:r>
        <w:rPr>
          <w:color w:val="231F20"/>
          <w:spacing w:val="32"/>
        </w:rPr>
        <w:t> </w:t>
      </w:r>
      <w:r>
        <w:rPr>
          <w:color w:val="231F20"/>
        </w:rPr>
        <w:t>Administrative</w:t>
      </w:r>
      <w:r>
        <w:rPr>
          <w:color w:val="231F20"/>
          <w:spacing w:val="32"/>
        </w:rPr>
        <w:t> </w:t>
      </w:r>
      <w:r>
        <w:rPr>
          <w:color w:val="231F20"/>
        </w:rPr>
        <w:t>Region</w:t>
      </w:r>
      <w:r>
        <w:rPr>
          <w:color w:val="231F20"/>
          <w:spacing w:val="32"/>
        </w:rPr>
        <w:t> </w:t>
      </w:r>
      <w:r>
        <w:rPr>
          <w:color w:val="231F20"/>
        </w:rPr>
        <w:t>of</w:t>
      </w:r>
      <w:r>
        <w:rPr>
          <w:color w:val="231F20"/>
          <w:spacing w:val="32"/>
        </w:rPr>
        <w:t> </w:t>
      </w:r>
      <w:r>
        <w:rPr>
          <w:color w:val="231F20"/>
        </w:rPr>
        <w:t>the</w:t>
      </w:r>
      <w:r>
        <w:rPr>
          <w:color w:val="231F20"/>
          <w:spacing w:val="32"/>
        </w:rPr>
        <w:t> </w:t>
      </w:r>
      <w:r>
        <w:rPr>
          <w:color w:val="231F20"/>
          <w:spacing w:val="-4"/>
        </w:rPr>
        <w:t>PRC;</w:t>
      </w:r>
    </w:p>
    <w:p>
      <w:pPr>
        <w:pStyle w:val="BodyText"/>
        <w:spacing w:before="100"/>
      </w:pPr>
    </w:p>
    <w:p>
      <w:pPr>
        <w:pStyle w:val="BodyText"/>
        <w:tabs>
          <w:tab w:pos="3657" w:val="left" w:leader="none"/>
        </w:tabs>
        <w:spacing w:line="292" w:lineRule="auto"/>
        <w:ind w:left="3657" w:right="130" w:hanging="3515"/>
        <w:jc w:val="both"/>
      </w:pPr>
      <w:r>
        <w:rPr>
          <w:color w:val="231F20"/>
        </w:rPr>
        <w:t>“Listing Rules”</w:t>
        <w:tab/>
        <w:t>the Rules Governing the Listing of Securities on The Stock</w:t>
      </w:r>
      <w:r>
        <w:rPr>
          <w:color w:val="231F20"/>
          <w:spacing w:val="40"/>
        </w:rPr>
        <w:t> </w:t>
      </w:r>
      <w:r>
        <w:rPr>
          <w:color w:val="231F20"/>
        </w:rPr>
        <w:t>Exchange of Hong Kong Limited;</w:t>
      </w:r>
    </w:p>
    <w:p>
      <w:pPr>
        <w:pStyle w:val="BodyText"/>
        <w:spacing w:before="49"/>
      </w:pPr>
    </w:p>
    <w:p>
      <w:pPr>
        <w:pStyle w:val="BodyText"/>
        <w:tabs>
          <w:tab w:pos="3657" w:val="left" w:leader="none"/>
        </w:tabs>
        <w:ind w:left="142"/>
        <w:jc w:val="both"/>
      </w:pPr>
      <w:r>
        <w:rPr>
          <w:color w:val="231F20"/>
        </w:rPr>
        <w:t>“Main</w:t>
      </w:r>
      <w:r>
        <w:rPr>
          <w:color w:val="231F20"/>
          <w:spacing w:val="30"/>
        </w:rPr>
        <w:t> </w:t>
      </w:r>
      <w:r>
        <w:rPr>
          <w:color w:val="231F20"/>
          <w:spacing w:val="-2"/>
        </w:rPr>
        <w:t>Board”</w:t>
      </w:r>
      <w:r>
        <w:rPr>
          <w:color w:val="231F20"/>
        </w:rPr>
        <w:tab/>
        <w:t>the</w:t>
      </w:r>
      <w:r>
        <w:rPr>
          <w:color w:val="231F20"/>
          <w:spacing w:val="23"/>
        </w:rPr>
        <w:t> </w:t>
      </w:r>
      <w:r>
        <w:rPr>
          <w:color w:val="231F20"/>
        </w:rPr>
        <w:t>Main</w:t>
      </w:r>
      <w:r>
        <w:rPr>
          <w:color w:val="231F20"/>
          <w:spacing w:val="23"/>
        </w:rPr>
        <w:t> </w:t>
      </w:r>
      <w:r>
        <w:rPr>
          <w:color w:val="231F20"/>
        </w:rPr>
        <w:t>Board</w:t>
      </w:r>
      <w:r>
        <w:rPr>
          <w:color w:val="231F20"/>
          <w:spacing w:val="24"/>
        </w:rPr>
        <w:t> </w:t>
      </w:r>
      <w:r>
        <w:rPr>
          <w:color w:val="231F20"/>
        </w:rPr>
        <w:t>of</w:t>
      </w:r>
      <w:r>
        <w:rPr>
          <w:color w:val="231F20"/>
          <w:spacing w:val="23"/>
        </w:rPr>
        <w:t> </w:t>
      </w:r>
      <w:r>
        <w:rPr>
          <w:color w:val="231F20"/>
        </w:rPr>
        <w:t>the</w:t>
      </w:r>
      <w:r>
        <w:rPr>
          <w:color w:val="231F20"/>
          <w:spacing w:val="23"/>
        </w:rPr>
        <w:t> </w:t>
      </w:r>
      <w:r>
        <w:rPr>
          <w:color w:val="231F20"/>
        </w:rPr>
        <w:t>Stock</w:t>
      </w:r>
      <w:r>
        <w:rPr>
          <w:color w:val="231F20"/>
          <w:spacing w:val="24"/>
        </w:rPr>
        <w:t> </w:t>
      </w:r>
      <w:r>
        <w:rPr>
          <w:color w:val="231F20"/>
          <w:spacing w:val="-2"/>
        </w:rPr>
        <w:t>Exchange;</w:t>
      </w:r>
    </w:p>
    <w:p>
      <w:pPr>
        <w:pStyle w:val="BodyText"/>
        <w:spacing w:before="100"/>
      </w:pPr>
    </w:p>
    <w:p>
      <w:pPr>
        <w:pStyle w:val="BodyText"/>
        <w:tabs>
          <w:tab w:pos="3657" w:val="left" w:leader="none"/>
        </w:tabs>
        <w:ind w:left="142"/>
        <w:jc w:val="both"/>
      </w:pPr>
      <w:r>
        <w:rPr>
          <w:color w:val="231F20"/>
          <w:spacing w:val="-2"/>
        </w:rPr>
        <w:t>“PRC”</w:t>
      </w:r>
      <w:r>
        <w:rPr>
          <w:color w:val="231F20"/>
        </w:rPr>
        <w:tab/>
        <w:t>the</w:t>
      </w:r>
      <w:r>
        <w:rPr>
          <w:color w:val="231F20"/>
          <w:spacing w:val="31"/>
        </w:rPr>
        <w:t> </w:t>
      </w:r>
      <w:r>
        <w:rPr>
          <w:color w:val="231F20"/>
        </w:rPr>
        <w:t>People’s</w:t>
      </w:r>
      <w:r>
        <w:rPr>
          <w:color w:val="231F20"/>
          <w:spacing w:val="31"/>
        </w:rPr>
        <w:t> </w:t>
      </w:r>
      <w:r>
        <w:rPr>
          <w:color w:val="231F20"/>
        </w:rPr>
        <w:t>Republic</w:t>
      </w:r>
      <w:r>
        <w:rPr>
          <w:color w:val="231F20"/>
          <w:spacing w:val="31"/>
        </w:rPr>
        <w:t> </w:t>
      </w:r>
      <w:r>
        <w:rPr>
          <w:color w:val="231F20"/>
        </w:rPr>
        <w:t>of</w:t>
      </w:r>
      <w:r>
        <w:rPr>
          <w:color w:val="231F20"/>
          <w:spacing w:val="32"/>
        </w:rPr>
        <w:t> </w:t>
      </w:r>
      <w:r>
        <w:rPr>
          <w:color w:val="231F20"/>
          <w:spacing w:val="-2"/>
        </w:rPr>
        <w:t>China;</w:t>
      </w:r>
    </w:p>
    <w:p>
      <w:pPr>
        <w:pStyle w:val="BodyText"/>
        <w:spacing w:before="100"/>
      </w:pPr>
    </w:p>
    <w:p>
      <w:pPr>
        <w:pStyle w:val="BodyText"/>
        <w:tabs>
          <w:tab w:pos="3657" w:val="left" w:leader="none"/>
        </w:tabs>
        <w:ind w:left="142"/>
        <w:jc w:val="both"/>
      </w:pPr>
      <w:r>
        <w:rPr>
          <w:color w:val="231F20"/>
          <w:spacing w:val="-2"/>
        </w:rPr>
        <w:t>“RMB”</w:t>
      </w:r>
      <w:r>
        <w:rPr>
          <w:color w:val="231F20"/>
        </w:rPr>
        <w:tab/>
        <w:t>Renminbi,</w:t>
      </w:r>
      <w:r>
        <w:rPr>
          <w:color w:val="231F20"/>
          <w:spacing w:val="28"/>
        </w:rPr>
        <w:t> </w:t>
      </w:r>
      <w:r>
        <w:rPr>
          <w:color w:val="231F20"/>
        </w:rPr>
        <w:t>the</w:t>
      </w:r>
      <w:r>
        <w:rPr>
          <w:color w:val="231F20"/>
          <w:spacing w:val="31"/>
        </w:rPr>
        <w:t> </w:t>
      </w:r>
      <w:r>
        <w:rPr>
          <w:color w:val="231F20"/>
        </w:rPr>
        <w:t>lawful</w:t>
      </w:r>
      <w:r>
        <w:rPr>
          <w:color w:val="231F20"/>
          <w:spacing w:val="31"/>
        </w:rPr>
        <w:t> </w:t>
      </w:r>
      <w:r>
        <w:rPr>
          <w:color w:val="231F20"/>
        </w:rPr>
        <w:t>currency</w:t>
      </w:r>
      <w:r>
        <w:rPr>
          <w:color w:val="231F20"/>
          <w:spacing w:val="31"/>
        </w:rPr>
        <w:t> </w:t>
      </w:r>
      <w:r>
        <w:rPr>
          <w:color w:val="231F20"/>
        </w:rPr>
        <w:t>of</w:t>
      </w:r>
      <w:r>
        <w:rPr>
          <w:color w:val="231F20"/>
          <w:spacing w:val="31"/>
        </w:rPr>
        <w:t> </w:t>
      </w:r>
      <w:r>
        <w:rPr>
          <w:color w:val="231F20"/>
        </w:rPr>
        <w:t>the</w:t>
      </w:r>
      <w:r>
        <w:rPr>
          <w:color w:val="231F20"/>
          <w:spacing w:val="31"/>
        </w:rPr>
        <w:t> </w:t>
      </w:r>
      <w:r>
        <w:rPr>
          <w:color w:val="231F20"/>
          <w:spacing w:val="-4"/>
        </w:rPr>
        <w:t>PRC;</w:t>
      </w:r>
    </w:p>
    <w:p>
      <w:pPr>
        <w:pStyle w:val="BodyText"/>
        <w:spacing w:after="0"/>
        <w:jc w:val="both"/>
        <w:sectPr>
          <w:headerReference w:type="default" r:id="rId10"/>
          <w:footerReference w:type="default" r:id="rId11"/>
          <w:pgSz w:w="11910" w:h="15880"/>
          <w:pgMar w:header="567" w:footer="573" w:top="1300" w:bottom="760" w:left="1275" w:right="1275"/>
          <w:pgNumType w:start="1"/>
        </w:sectPr>
      </w:pPr>
    </w:p>
    <w:p>
      <w:pPr>
        <w:pStyle w:val="BodyText"/>
        <w:tabs>
          <w:tab w:pos="3657" w:val="left" w:leader="none"/>
        </w:tabs>
        <w:spacing w:before="193"/>
        <w:ind w:left="142"/>
      </w:pPr>
      <w:r>
        <w:rPr>
          <w:color w:val="231F20"/>
          <w:spacing w:val="-2"/>
        </w:rPr>
        <w:t>“Shareholder(s)”</w:t>
      </w:r>
      <w:r>
        <w:rPr>
          <w:color w:val="231F20"/>
        </w:rPr>
        <w:tab/>
        <w:t>the</w:t>
      </w:r>
      <w:r>
        <w:rPr>
          <w:color w:val="231F20"/>
          <w:spacing w:val="32"/>
        </w:rPr>
        <w:t> </w:t>
      </w:r>
      <w:r>
        <w:rPr>
          <w:color w:val="231F20"/>
        </w:rPr>
        <w:t>shareholder(s)</w:t>
      </w:r>
      <w:r>
        <w:rPr>
          <w:color w:val="231F20"/>
          <w:spacing w:val="33"/>
        </w:rPr>
        <w:t> </w:t>
      </w:r>
      <w:r>
        <w:rPr>
          <w:color w:val="231F20"/>
        </w:rPr>
        <w:t>of</w:t>
      </w:r>
      <w:r>
        <w:rPr>
          <w:color w:val="231F20"/>
          <w:spacing w:val="32"/>
        </w:rPr>
        <w:t> </w:t>
      </w:r>
      <w:r>
        <w:rPr>
          <w:color w:val="231F20"/>
        </w:rPr>
        <w:t>the</w:t>
      </w:r>
      <w:r>
        <w:rPr>
          <w:color w:val="231F20"/>
          <w:spacing w:val="33"/>
        </w:rPr>
        <w:t> </w:t>
      </w:r>
      <w:r>
        <w:rPr>
          <w:color w:val="231F20"/>
          <w:spacing w:val="-2"/>
        </w:rPr>
        <w:t>Company;</w:t>
      </w:r>
    </w:p>
    <w:p>
      <w:pPr>
        <w:pStyle w:val="BodyText"/>
        <w:spacing w:before="99"/>
      </w:pPr>
    </w:p>
    <w:p>
      <w:pPr>
        <w:pStyle w:val="BodyText"/>
        <w:tabs>
          <w:tab w:pos="3657" w:val="left" w:leader="none"/>
        </w:tabs>
        <w:spacing w:before="1"/>
        <w:ind w:left="142"/>
      </w:pPr>
      <w:r>
        <w:rPr>
          <w:color w:val="231F20"/>
        </w:rPr>
        <w:t>“Stock</w:t>
      </w:r>
      <w:r>
        <w:rPr>
          <w:color w:val="231F20"/>
          <w:spacing w:val="35"/>
        </w:rPr>
        <w:t> </w:t>
      </w:r>
      <w:r>
        <w:rPr>
          <w:color w:val="231F20"/>
          <w:spacing w:val="-2"/>
        </w:rPr>
        <w:t>Exchange”</w:t>
      </w:r>
      <w:r>
        <w:rPr>
          <w:color w:val="231F20"/>
        </w:rPr>
        <w:tab/>
        <w:t>The</w:t>
      </w:r>
      <w:r>
        <w:rPr>
          <w:color w:val="231F20"/>
          <w:spacing w:val="29"/>
        </w:rPr>
        <w:t> </w:t>
      </w:r>
      <w:r>
        <w:rPr>
          <w:color w:val="231F20"/>
        </w:rPr>
        <w:t>Stock</w:t>
      </w:r>
      <w:r>
        <w:rPr>
          <w:color w:val="231F20"/>
          <w:spacing w:val="29"/>
        </w:rPr>
        <w:t> </w:t>
      </w:r>
      <w:r>
        <w:rPr>
          <w:color w:val="231F20"/>
        </w:rPr>
        <w:t>Exchange</w:t>
      </w:r>
      <w:r>
        <w:rPr>
          <w:color w:val="231F20"/>
          <w:spacing w:val="29"/>
        </w:rPr>
        <w:t> </w:t>
      </w:r>
      <w:r>
        <w:rPr>
          <w:color w:val="231F20"/>
        </w:rPr>
        <w:t>of</w:t>
      </w:r>
      <w:r>
        <w:rPr>
          <w:color w:val="231F20"/>
          <w:spacing w:val="30"/>
        </w:rPr>
        <w:t> </w:t>
      </w:r>
      <w:r>
        <w:rPr>
          <w:color w:val="231F20"/>
        </w:rPr>
        <w:t>Hong</w:t>
      </w:r>
      <w:r>
        <w:rPr>
          <w:color w:val="231F20"/>
          <w:spacing w:val="29"/>
        </w:rPr>
        <w:t> </w:t>
      </w:r>
      <w:r>
        <w:rPr>
          <w:color w:val="231F20"/>
        </w:rPr>
        <w:t>Kong</w:t>
      </w:r>
      <w:r>
        <w:rPr>
          <w:color w:val="231F20"/>
          <w:spacing w:val="29"/>
        </w:rPr>
        <w:t> </w:t>
      </w:r>
      <w:r>
        <w:rPr>
          <w:color w:val="231F20"/>
        </w:rPr>
        <w:t>Limited;</w:t>
      </w:r>
      <w:r>
        <w:rPr>
          <w:color w:val="231F20"/>
          <w:spacing w:val="30"/>
        </w:rPr>
        <w:t> </w:t>
      </w:r>
      <w:r>
        <w:rPr>
          <w:color w:val="231F20"/>
          <w:spacing w:val="-5"/>
        </w:rPr>
        <w:t>and</w:t>
      </w:r>
    </w:p>
    <w:p>
      <w:pPr>
        <w:pStyle w:val="BodyText"/>
        <w:spacing w:before="6"/>
      </w:pPr>
    </w:p>
    <w:p>
      <w:pPr>
        <w:pStyle w:val="BodyText"/>
        <w:spacing w:after="0"/>
        <w:sectPr>
          <w:pgSz w:w="11910" w:h="15880"/>
          <w:pgMar w:header="567" w:footer="573" w:top="1300" w:bottom="760" w:left="1275" w:right="1275"/>
        </w:sectPr>
      </w:pPr>
    </w:p>
    <w:p>
      <w:pPr>
        <w:pStyle w:val="BodyText"/>
        <w:spacing w:line="292" w:lineRule="auto" w:before="94"/>
        <w:ind w:left="340" w:right="38" w:hanging="199"/>
      </w:pPr>
      <w:r>
        <w:rPr>
          <w:color w:val="231F20"/>
        </w:rPr>
        <w:t>“Unaudited Interim </w:t>
      </w:r>
      <w:r>
        <w:rPr>
          <w:color w:val="231F20"/>
        </w:rPr>
        <w:t>Results </w:t>
      </w:r>
      <w:r>
        <w:rPr>
          <w:color w:val="231F20"/>
          <w:spacing w:val="-2"/>
        </w:rPr>
        <w:t>Announcement”</w:t>
      </w:r>
    </w:p>
    <w:p>
      <w:pPr>
        <w:pStyle w:val="BodyText"/>
        <w:spacing w:line="292" w:lineRule="auto" w:before="94"/>
        <w:ind w:left="142" w:right="135"/>
      </w:pPr>
      <w:r>
        <w:rPr/>
        <w:br w:type="column"/>
      </w:r>
      <w:r>
        <w:rPr>
          <w:color w:val="231F20"/>
        </w:rPr>
        <w:t>the</w:t>
      </w:r>
      <w:r>
        <w:rPr>
          <w:color w:val="231F20"/>
          <w:spacing w:val="40"/>
        </w:rPr>
        <w:t> </w:t>
      </w:r>
      <w:r>
        <w:rPr>
          <w:color w:val="231F20"/>
        </w:rPr>
        <w:t>unaudited</w:t>
      </w:r>
      <w:r>
        <w:rPr>
          <w:color w:val="231F20"/>
          <w:spacing w:val="40"/>
        </w:rPr>
        <w:t> </w:t>
      </w:r>
      <w:r>
        <w:rPr>
          <w:color w:val="231F20"/>
        </w:rPr>
        <w:t>interim</w:t>
      </w:r>
      <w:r>
        <w:rPr>
          <w:color w:val="231F20"/>
          <w:spacing w:val="40"/>
        </w:rPr>
        <w:t> </w:t>
      </w:r>
      <w:r>
        <w:rPr>
          <w:color w:val="231F20"/>
        </w:rPr>
        <w:t>results</w:t>
      </w:r>
      <w:r>
        <w:rPr>
          <w:color w:val="231F20"/>
          <w:spacing w:val="40"/>
        </w:rPr>
        <w:t> </w:t>
      </w:r>
      <w:r>
        <w:rPr>
          <w:color w:val="231F20"/>
        </w:rPr>
        <w:t>announcement</w:t>
      </w:r>
      <w:r>
        <w:rPr>
          <w:color w:val="231F20"/>
          <w:spacing w:val="40"/>
        </w:rPr>
        <w:t> </w:t>
      </w:r>
      <w:r>
        <w:rPr>
          <w:color w:val="231F20"/>
        </w:rPr>
        <w:t>for</w:t>
      </w:r>
      <w:r>
        <w:rPr>
          <w:color w:val="231F20"/>
          <w:spacing w:val="40"/>
        </w:rPr>
        <w:t> </w:t>
      </w:r>
      <w:r>
        <w:rPr>
          <w:color w:val="231F20"/>
        </w:rPr>
        <w:t>the</w:t>
      </w:r>
      <w:r>
        <w:rPr>
          <w:color w:val="231F20"/>
          <w:spacing w:val="40"/>
        </w:rPr>
        <w:t> </w:t>
      </w:r>
      <w:r>
        <w:rPr>
          <w:color w:val="231F20"/>
        </w:rPr>
        <w:t>period</w:t>
      </w:r>
      <w:r>
        <w:rPr>
          <w:color w:val="231F20"/>
          <w:spacing w:val="40"/>
        </w:rPr>
        <w:t> </w:t>
      </w:r>
      <w:r>
        <w:rPr>
          <w:color w:val="231F20"/>
        </w:rPr>
        <w:t>ended June</w:t>
      </w:r>
      <w:r>
        <w:rPr>
          <w:color w:val="231F20"/>
          <w:spacing w:val="26"/>
        </w:rPr>
        <w:t> </w:t>
      </w:r>
      <w:r>
        <w:rPr>
          <w:color w:val="231F20"/>
        </w:rPr>
        <w:t>30,</w:t>
      </w:r>
      <w:r>
        <w:rPr>
          <w:color w:val="231F20"/>
          <w:spacing w:val="27"/>
        </w:rPr>
        <w:t> </w:t>
      </w:r>
      <w:r>
        <w:rPr>
          <w:color w:val="231F20"/>
        </w:rPr>
        <w:t>2025</w:t>
      </w:r>
      <w:r>
        <w:rPr>
          <w:color w:val="231F20"/>
          <w:spacing w:val="26"/>
        </w:rPr>
        <w:t> </w:t>
      </w:r>
      <w:r>
        <w:rPr>
          <w:color w:val="231F20"/>
        </w:rPr>
        <w:t>dated</w:t>
      </w:r>
      <w:r>
        <w:rPr>
          <w:color w:val="231F20"/>
          <w:spacing w:val="27"/>
        </w:rPr>
        <w:t> </w:t>
      </w:r>
      <w:r>
        <w:rPr>
          <w:color w:val="231F20"/>
        </w:rPr>
        <w:t>August</w:t>
      </w:r>
      <w:r>
        <w:rPr>
          <w:color w:val="231F20"/>
          <w:spacing w:val="26"/>
        </w:rPr>
        <w:t> </w:t>
      </w:r>
      <w:r>
        <w:rPr>
          <w:color w:val="231F20"/>
        </w:rPr>
        <w:t>21,</w:t>
      </w:r>
      <w:r>
        <w:rPr>
          <w:color w:val="231F20"/>
          <w:spacing w:val="27"/>
        </w:rPr>
        <w:t> </w:t>
      </w:r>
      <w:r>
        <w:rPr>
          <w:color w:val="231F20"/>
        </w:rPr>
        <w:t>2025</w:t>
      </w:r>
      <w:r>
        <w:rPr>
          <w:color w:val="231F20"/>
          <w:spacing w:val="26"/>
        </w:rPr>
        <w:t> </w:t>
      </w:r>
      <w:r>
        <w:rPr>
          <w:color w:val="231F20"/>
        </w:rPr>
        <w:t>published</w:t>
      </w:r>
      <w:r>
        <w:rPr>
          <w:color w:val="231F20"/>
          <w:spacing w:val="27"/>
        </w:rPr>
        <w:t> </w:t>
      </w:r>
      <w:r>
        <w:rPr>
          <w:color w:val="231F20"/>
        </w:rPr>
        <w:t>by</w:t>
      </w:r>
      <w:r>
        <w:rPr>
          <w:color w:val="231F20"/>
          <w:spacing w:val="26"/>
        </w:rPr>
        <w:t> </w:t>
      </w:r>
      <w:r>
        <w:rPr>
          <w:color w:val="231F20"/>
        </w:rPr>
        <w:t>the</w:t>
      </w:r>
      <w:r>
        <w:rPr>
          <w:color w:val="231F20"/>
          <w:spacing w:val="27"/>
        </w:rPr>
        <w:t> </w:t>
      </w:r>
      <w:r>
        <w:rPr>
          <w:color w:val="231F20"/>
          <w:spacing w:val="-2"/>
        </w:rPr>
        <w:t>Company.</w:t>
      </w:r>
    </w:p>
    <w:p>
      <w:pPr>
        <w:pStyle w:val="BodyText"/>
        <w:spacing w:after="0" w:line="292" w:lineRule="auto"/>
        <w:sectPr>
          <w:type w:val="continuous"/>
          <w:pgSz w:w="11910" w:h="15880"/>
          <w:pgMar w:header="567" w:footer="573" w:top="1300" w:bottom="280" w:left="1275" w:right="1275"/>
          <w:cols w:num="2" w:equalWidth="0">
            <w:col w:w="2513" w:space="1002"/>
            <w:col w:w="5845"/>
          </w:cols>
        </w:sectPr>
      </w:pPr>
    </w:p>
    <w:p>
      <w:pPr>
        <w:pStyle w:val="Heading1"/>
      </w:pPr>
      <w:r>
        <w:rPr/>
        <mc:AlternateContent>
          <mc:Choice Requires="wps">
            <w:drawing>
              <wp:anchor distT="0" distB="0" distL="0" distR="0" allowOverlap="1" layoutInCell="1" locked="0" behindDoc="0" simplePos="0" relativeHeight="15730176">
                <wp:simplePos x="0" y="0"/>
                <wp:positionH relativeFrom="page">
                  <wp:posOffset>1918566</wp:posOffset>
                </wp:positionH>
                <wp:positionV relativeFrom="paragraph">
                  <wp:posOffset>60191</wp:posOffset>
                </wp:positionV>
                <wp:extent cx="691515" cy="691515"/>
                <wp:effectExtent l="0" t="0" r="0" b="0"/>
                <wp:wrapNone/>
                <wp:docPr id="21" name="Group 21"/>
                <wp:cNvGraphicFramePr>
                  <a:graphicFrameLocks/>
                </wp:cNvGraphicFramePr>
                <a:graphic>
                  <a:graphicData uri="http://schemas.microsoft.com/office/word/2010/wordprocessingGroup">
                    <wpg:wgp>
                      <wpg:cNvPr id="21" name="Group 21"/>
                      <wpg:cNvGrpSpPr/>
                      <wpg:grpSpPr>
                        <a:xfrm>
                          <a:off x="0" y="0"/>
                          <a:ext cx="691515" cy="691515"/>
                          <a:chExt cx="691515" cy="691515"/>
                        </a:xfrm>
                      </wpg:grpSpPr>
                      <wps:wsp>
                        <wps:cNvPr id="22" name="Graphic 22"/>
                        <wps:cNvSpPr/>
                        <wps:spPr>
                          <a:xfrm>
                            <a:off x="182678" y="183042"/>
                            <a:ext cx="325755" cy="325755"/>
                          </a:xfrm>
                          <a:custGeom>
                            <a:avLst/>
                            <a:gdLst/>
                            <a:ahLst/>
                            <a:cxnLst/>
                            <a:rect l="l" t="t" r="r" b="b"/>
                            <a:pathLst>
                              <a:path w="325755" h="325755">
                                <a:moveTo>
                                  <a:pt x="162612" y="0"/>
                                </a:moveTo>
                                <a:lnTo>
                                  <a:pt x="5905" y="148361"/>
                                </a:lnTo>
                                <a:lnTo>
                                  <a:pt x="0" y="162615"/>
                                </a:lnTo>
                                <a:lnTo>
                                  <a:pt x="1476" y="170198"/>
                                </a:lnTo>
                                <a:lnTo>
                                  <a:pt x="5905" y="176860"/>
                                </a:lnTo>
                                <a:lnTo>
                                  <a:pt x="148361" y="319316"/>
                                </a:lnTo>
                                <a:lnTo>
                                  <a:pt x="155029" y="323745"/>
                                </a:lnTo>
                                <a:lnTo>
                                  <a:pt x="162612" y="325221"/>
                                </a:lnTo>
                                <a:lnTo>
                                  <a:pt x="170198" y="323745"/>
                                </a:lnTo>
                                <a:lnTo>
                                  <a:pt x="176872" y="319316"/>
                                </a:lnTo>
                                <a:lnTo>
                                  <a:pt x="242205" y="253977"/>
                                </a:lnTo>
                                <a:lnTo>
                                  <a:pt x="162612" y="253977"/>
                                </a:lnTo>
                                <a:lnTo>
                                  <a:pt x="155029" y="252503"/>
                                </a:lnTo>
                                <a:lnTo>
                                  <a:pt x="148361" y="248081"/>
                                </a:lnTo>
                                <a:lnTo>
                                  <a:pt x="77139" y="176860"/>
                                </a:lnTo>
                                <a:lnTo>
                                  <a:pt x="72717" y="170198"/>
                                </a:lnTo>
                                <a:lnTo>
                                  <a:pt x="71243" y="162615"/>
                                </a:lnTo>
                                <a:lnTo>
                                  <a:pt x="72717" y="155030"/>
                                </a:lnTo>
                                <a:lnTo>
                                  <a:pt x="77139" y="148361"/>
                                </a:lnTo>
                                <a:lnTo>
                                  <a:pt x="148361" y="77139"/>
                                </a:lnTo>
                                <a:lnTo>
                                  <a:pt x="155029" y="72717"/>
                                </a:lnTo>
                                <a:lnTo>
                                  <a:pt x="162612" y="71243"/>
                                </a:lnTo>
                                <a:lnTo>
                                  <a:pt x="242205" y="71243"/>
                                </a:lnTo>
                                <a:lnTo>
                                  <a:pt x="176872" y="5905"/>
                                </a:lnTo>
                                <a:lnTo>
                                  <a:pt x="170198" y="1476"/>
                                </a:lnTo>
                                <a:lnTo>
                                  <a:pt x="162612" y="0"/>
                                </a:lnTo>
                                <a:close/>
                              </a:path>
                              <a:path w="325755" h="325755">
                                <a:moveTo>
                                  <a:pt x="242205" y="71243"/>
                                </a:moveTo>
                                <a:lnTo>
                                  <a:pt x="162612" y="71243"/>
                                </a:lnTo>
                                <a:lnTo>
                                  <a:pt x="170198" y="72717"/>
                                </a:lnTo>
                                <a:lnTo>
                                  <a:pt x="176872" y="77139"/>
                                </a:lnTo>
                                <a:lnTo>
                                  <a:pt x="248081" y="148361"/>
                                </a:lnTo>
                                <a:lnTo>
                                  <a:pt x="252510" y="155030"/>
                                </a:lnTo>
                                <a:lnTo>
                                  <a:pt x="253987" y="162615"/>
                                </a:lnTo>
                                <a:lnTo>
                                  <a:pt x="252510" y="170198"/>
                                </a:lnTo>
                                <a:lnTo>
                                  <a:pt x="248081" y="176860"/>
                                </a:lnTo>
                                <a:lnTo>
                                  <a:pt x="176872" y="248081"/>
                                </a:lnTo>
                                <a:lnTo>
                                  <a:pt x="170198" y="252503"/>
                                </a:lnTo>
                                <a:lnTo>
                                  <a:pt x="162612" y="253977"/>
                                </a:lnTo>
                                <a:lnTo>
                                  <a:pt x="242205" y="253977"/>
                                </a:lnTo>
                                <a:lnTo>
                                  <a:pt x="319316" y="176860"/>
                                </a:lnTo>
                                <a:lnTo>
                                  <a:pt x="323745" y="170198"/>
                                </a:lnTo>
                                <a:lnTo>
                                  <a:pt x="325221" y="162615"/>
                                </a:lnTo>
                                <a:lnTo>
                                  <a:pt x="323745" y="155030"/>
                                </a:lnTo>
                                <a:lnTo>
                                  <a:pt x="319316" y="148361"/>
                                </a:lnTo>
                                <a:lnTo>
                                  <a:pt x="242205" y="71243"/>
                                </a:lnTo>
                                <a:close/>
                              </a:path>
                            </a:pathLst>
                          </a:custGeom>
                          <a:solidFill>
                            <a:srgbClr val="902635"/>
                          </a:solidFill>
                        </wps:spPr>
                        <wps:bodyPr wrap="square" lIns="0" tIns="0" rIns="0" bIns="0" rtlCol="0">
                          <a:prstTxWarp prst="textNoShape">
                            <a:avLst/>
                          </a:prstTxWarp>
                          <a:noAutofit/>
                        </wps:bodyPr>
                      </wps:wsp>
                      <wps:wsp>
                        <wps:cNvPr id="23" name="Graphic 23"/>
                        <wps:cNvSpPr/>
                        <wps:spPr>
                          <a:xfrm>
                            <a:off x="-2" y="0"/>
                            <a:ext cx="691515" cy="691515"/>
                          </a:xfrm>
                          <a:custGeom>
                            <a:avLst/>
                            <a:gdLst/>
                            <a:ahLst/>
                            <a:cxnLst/>
                            <a:rect l="l" t="t" r="r" b="b"/>
                            <a:pathLst>
                              <a:path w="691515" h="691515">
                                <a:moveTo>
                                  <a:pt x="320497" y="565683"/>
                                </a:moveTo>
                                <a:lnTo>
                                  <a:pt x="318376" y="560539"/>
                                </a:lnTo>
                                <a:lnTo>
                                  <a:pt x="314579" y="556780"/>
                                </a:lnTo>
                                <a:lnTo>
                                  <a:pt x="270192" y="512394"/>
                                </a:lnTo>
                                <a:lnTo>
                                  <a:pt x="270192" y="586549"/>
                                </a:lnTo>
                                <a:lnTo>
                                  <a:pt x="270192" y="640676"/>
                                </a:lnTo>
                                <a:lnTo>
                                  <a:pt x="216319" y="640676"/>
                                </a:lnTo>
                                <a:lnTo>
                                  <a:pt x="210985" y="638467"/>
                                </a:lnTo>
                                <a:lnTo>
                                  <a:pt x="52514" y="479983"/>
                                </a:lnTo>
                                <a:lnTo>
                                  <a:pt x="50368" y="474764"/>
                                </a:lnTo>
                                <a:lnTo>
                                  <a:pt x="50469" y="442264"/>
                                </a:lnTo>
                                <a:lnTo>
                                  <a:pt x="52158" y="433984"/>
                                </a:lnTo>
                                <a:lnTo>
                                  <a:pt x="56730" y="427228"/>
                                </a:lnTo>
                                <a:lnTo>
                                  <a:pt x="63512" y="422681"/>
                                </a:lnTo>
                                <a:lnTo>
                                  <a:pt x="71666" y="421043"/>
                                </a:lnTo>
                                <a:lnTo>
                                  <a:pt x="104711" y="421043"/>
                                </a:lnTo>
                                <a:lnTo>
                                  <a:pt x="109893" y="423189"/>
                                </a:lnTo>
                                <a:lnTo>
                                  <a:pt x="268046" y="581355"/>
                                </a:lnTo>
                                <a:lnTo>
                                  <a:pt x="270192" y="586549"/>
                                </a:lnTo>
                                <a:lnTo>
                                  <a:pt x="270192" y="512394"/>
                                </a:lnTo>
                                <a:lnTo>
                                  <a:pt x="178854" y="421043"/>
                                </a:lnTo>
                                <a:lnTo>
                                  <a:pt x="130695" y="372872"/>
                                </a:lnTo>
                                <a:lnTo>
                                  <a:pt x="125577" y="370751"/>
                                </a:lnTo>
                                <a:lnTo>
                                  <a:pt x="20256" y="370751"/>
                                </a:lnTo>
                                <a:lnTo>
                                  <a:pt x="12623" y="372275"/>
                                </a:lnTo>
                                <a:lnTo>
                                  <a:pt x="6121" y="376567"/>
                                </a:lnTo>
                                <a:lnTo>
                                  <a:pt x="1676" y="382955"/>
                                </a:lnTo>
                                <a:lnTo>
                                  <a:pt x="25" y="390779"/>
                                </a:lnTo>
                                <a:lnTo>
                                  <a:pt x="0" y="495579"/>
                                </a:lnTo>
                                <a:lnTo>
                                  <a:pt x="2120" y="500722"/>
                                </a:lnTo>
                                <a:lnTo>
                                  <a:pt x="190169" y="688771"/>
                                </a:lnTo>
                                <a:lnTo>
                                  <a:pt x="195567" y="690994"/>
                                </a:lnTo>
                                <a:lnTo>
                                  <a:pt x="300316" y="690994"/>
                                </a:lnTo>
                                <a:lnTo>
                                  <a:pt x="308152" y="689419"/>
                                </a:lnTo>
                                <a:lnTo>
                                  <a:pt x="314566" y="685114"/>
                                </a:lnTo>
                                <a:lnTo>
                                  <a:pt x="318884" y="678700"/>
                                </a:lnTo>
                                <a:lnTo>
                                  <a:pt x="320484" y="670864"/>
                                </a:lnTo>
                                <a:lnTo>
                                  <a:pt x="320484" y="640676"/>
                                </a:lnTo>
                                <a:lnTo>
                                  <a:pt x="320497" y="565683"/>
                                </a:lnTo>
                                <a:close/>
                              </a:path>
                              <a:path w="691515" h="691515">
                                <a:moveTo>
                                  <a:pt x="320560" y="20485"/>
                                </a:moveTo>
                                <a:lnTo>
                                  <a:pt x="318998" y="12611"/>
                                </a:lnTo>
                                <a:lnTo>
                                  <a:pt x="314693" y="6096"/>
                                </a:lnTo>
                                <a:lnTo>
                                  <a:pt x="308305" y="1663"/>
                                </a:lnTo>
                                <a:lnTo>
                                  <a:pt x="300482" y="0"/>
                                </a:lnTo>
                                <a:lnTo>
                                  <a:pt x="270230" y="0"/>
                                </a:lnTo>
                                <a:lnTo>
                                  <a:pt x="270230" y="71780"/>
                                </a:lnTo>
                                <a:lnTo>
                                  <a:pt x="270217" y="106133"/>
                                </a:lnTo>
                                <a:lnTo>
                                  <a:pt x="269087" y="108839"/>
                                </a:lnTo>
                                <a:lnTo>
                                  <a:pt x="108877" y="269062"/>
                                </a:lnTo>
                                <a:lnTo>
                                  <a:pt x="106172" y="270179"/>
                                </a:lnTo>
                                <a:lnTo>
                                  <a:pt x="50584" y="270179"/>
                                </a:lnTo>
                                <a:lnTo>
                                  <a:pt x="50647" y="214693"/>
                                </a:lnTo>
                                <a:lnTo>
                                  <a:pt x="51765" y="211988"/>
                                </a:lnTo>
                                <a:lnTo>
                                  <a:pt x="212305" y="51460"/>
                                </a:lnTo>
                                <a:lnTo>
                                  <a:pt x="214757" y="50457"/>
                                </a:lnTo>
                                <a:lnTo>
                                  <a:pt x="248996" y="50457"/>
                                </a:lnTo>
                                <a:lnTo>
                                  <a:pt x="257276" y="52158"/>
                                </a:lnTo>
                                <a:lnTo>
                                  <a:pt x="264033" y="56730"/>
                                </a:lnTo>
                                <a:lnTo>
                                  <a:pt x="268579" y="63500"/>
                                </a:lnTo>
                                <a:lnTo>
                                  <a:pt x="270230" y="71780"/>
                                </a:lnTo>
                                <a:lnTo>
                                  <a:pt x="270230" y="0"/>
                                </a:lnTo>
                                <a:lnTo>
                                  <a:pt x="195656" y="0"/>
                                </a:lnTo>
                                <a:lnTo>
                                  <a:pt x="190538" y="2095"/>
                                </a:lnTo>
                                <a:lnTo>
                                  <a:pt x="6273" y="186359"/>
                                </a:lnTo>
                                <a:lnTo>
                                  <a:pt x="5410" y="187261"/>
                                </a:lnTo>
                                <a:lnTo>
                                  <a:pt x="4800" y="188341"/>
                                </a:lnTo>
                                <a:lnTo>
                                  <a:pt x="3949" y="189611"/>
                                </a:lnTo>
                                <a:lnTo>
                                  <a:pt x="2768" y="191897"/>
                                </a:lnTo>
                                <a:lnTo>
                                  <a:pt x="1003" y="196037"/>
                                </a:lnTo>
                                <a:lnTo>
                                  <a:pt x="584" y="198780"/>
                                </a:lnTo>
                                <a:lnTo>
                                  <a:pt x="482" y="199402"/>
                                </a:lnTo>
                                <a:lnTo>
                                  <a:pt x="368" y="200596"/>
                                </a:lnTo>
                                <a:lnTo>
                                  <a:pt x="254" y="300291"/>
                                </a:lnTo>
                                <a:lnTo>
                                  <a:pt x="1841" y="308152"/>
                                </a:lnTo>
                                <a:lnTo>
                                  <a:pt x="6159" y="314553"/>
                                </a:lnTo>
                                <a:lnTo>
                                  <a:pt x="12560" y="318884"/>
                                </a:lnTo>
                                <a:lnTo>
                                  <a:pt x="20459" y="320471"/>
                                </a:lnTo>
                                <a:lnTo>
                                  <a:pt x="125577" y="320471"/>
                                </a:lnTo>
                                <a:lnTo>
                                  <a:pt x="178879" y="270179"/>
                                </a:lnTo>
                                <a:lnTo>
                                  <a:pt x="318376" y="130670"/>
                                </a:lnTo>
                                <a:lnTo>
                                  <a:pt x="320548" y="50457"/>
                                </a:lnTo>
                                <a:lnTo>
                                  <a:pt x="320560" y="20485"/>
                                </a:lnTo>
                                <a:close/>
                              </a:path>
                              <a:path w="691515" h="691515">
                                <a:moveTo>
                                  <a:pt x="690892" y="195275"/>
                                </a:moveTo>
                                <a:lnTo>
                                  <a:pt x="688784" y="190144"/>
                                </a:lnTo>
                                <a:lnTo>
                                  <a:pt x="640613" y="141986"/>
                                </a:lnTo>
                                <a:lnTo>
                                  <a:pt x="640613" y="214706"/>
                                </a:lnTo>
                                <a:lnTo>
                                  <a:pt x="640600" y="248945"/>
                                </a:lnTo>
                                <a:lnTo>
                                  <a:pt x="638924" y="257251"/>
                                </a:lnTo>
                                <a:lnTo>
                                  <a:pt x="634352" y="264020"/>
                                </a:lnTo>
                                <a:lnTo>
                                  <a:pt x="627570" y="268592"/>
                                </a:lnTo>
                                <a:lnTo>
                                  <a:pt x="619277" y="270243"/>
                                </a:lnTo>
                                <a:lnTo>
                                  <a:pt x="585165" y="270243"/>
                                </a:lnTo>
                                <a:lnTo>
                                  <a:pt x="582409" y="269087"/>
                                </a:lnTo>
                                <a:lnTo>
                                  <a:pt x="421894" y="108546"/>
                                </a:lnTo>
                                <a:lnTo>
                                  <a:pt x="420928" y="105829"/>
                                </a:lnTo>
                                <a:lnTo>
                                  <a:pt x="420928" y="50634"/>
                                </a:lnTo>
                                <a:lnTo>
                                  <a:pt x="476554" y="50634"/>
                                </a:lnTo>
                                <a:lnTo>
                                  <a:pt x="479259" y="51765"/>
                                </a:lnTo>
                                <a:lnTo>
                                  <a:pt x="639495" y="211988"/>
                                </a:lnTo>
                                <a:lnTo>
                                  <a:pt x="640613" y="214706"/>
                                </a:lnTo>
                                <a:lnTo>
                                  <a:pt x="640613" y="141986"/>
                                </a:lnTo>
                                <a:lnTo>
                                  <a:pt x="549249" y="50634"/>
                                </a:lnTo>
                                <a:lnTo>
                                  <a:pt x="501091" y="2476"/>
                                </a:lnTo>
                                <a:lnTo>
                                  <a:pt x="495985" y="355"/>
                                </a:lnTo>
                                <a:lnTo>
                                  <a:pt x="390639" y="355"/>
                                </a:lnTo>
                                <a:lnTo>
                                  <a:pt x="383070" y="1879"/>
                                </a:lnTo>
                                <a:lnTo>
                                  <a:pt x="376669" y="6172"/>
                                </a:lnTo>
                                <a:lnTo>
                                  <a:pt x="372351" y="12560"/>
                                </a:lnTo>
                                <a:lnTo>
                                  <a:pt x="370751" y="20370"/>
                                </a:lnTo>
                                <a:lnTo>
                                  <a:pt x="370471" y="105829"/>
                                </a:lnTo>
                                <a:lnTo>
                                  <a:pt x="370395" y="125158"/>
                                </a:lnTo>
                                <a:lnTo>
                                  <a:pt x="372516" y="130314"/>
                                </a:lnTo>
                                <a:lnTo>
                                  <a:pt x="560565" y="318350"/>
                                </a:lnTo>
                                <a:lnTo>
                                  <a:pt x="565988" y="320598"/>
                                </a:lnTo>
                                <a:lnTo>
                                  <a:pt x="670712" y="320598"/>
                                </a:lnTo>
                                <a:lnTo>
                                  <a:pt x="678548" y="319024"/>
                                </a:lnTo>
                                <a:lnTo>
                                  <a:pt x="684961" y="314706"/>
                                </a:lnTo>
                                <a:lnTo>
                                  <a:pt x="689292" y="308305"/>
                                </a:lnTo>
                                <a:lnTo>
                                  <a:pt x="690880" y="300456"/>
                                </a:lnTo>
                                <a:lnTo>
                                  <a:pt x="690880" y="270243"/>
                                </a:lnTo>
                                <a:lnTo>
                                  <a:pt x="690892" y="195275"/>
                                </a:lnTo>
                                <a:close/>
                              </a:path>
                              <a:path w="691515" h="691515">
                                <a:moveTo>
                                  <a:pt x="691426" y="391045"/>
                                </a:moveTo>
                                <a:lnTo>
                                  <a:pt x="689851" y="383197"/>
                                </a:lnTo>
                                <a:lnTo>
                                  <a:pt x="685533" y="376783"/>
                                </a:lnTo>
                                <a:lnTo>
                                  <a:pt x="679132" y="372465"/>
                                </a:lnTo>
                                <a:lnTo>
                                  <a:pt x="671283" y="370878"/>
                                </a:lnTo>
                                <a:lnTo>
                                  <a:pt x="641108" y="370878"/>
                                </a:lnTo>
                                <a:lnTo>
                                  <a:pt x="641108" y="421157"/>
                                </a:lnTo>
                                <a:lnTo>
                                  <a:pt x="641108" y="476643"/>
                                </a:lnTo>
                                <a:lnTo>
                                  <a:pt x="639927" y="479348"/>
                                </a:lnTo>
                                <a:lnTo>
                                  <a:pt x="479386" y="639876"/>
                                </a:lnTo>
                                <a:lnTo>
                                  <a:pt x="476656" y="640994"/>
                                </a:lnTo>
                                <a:lnTo>
                                  <a:pt x="443242" y="640994"/>
                                </a:lnTo>
                                <a:lnTo>
                                  <a:pt x="434416" y="639191"/>
                                </a:lnTo>
                                <a:lnTo>
                                  <a:pt x="427659" y="634606"/>
                                </a:lnTo>
                                <a:lnTo>
                                  <a:pt x="423113" y="627837"/>
                                </a:lnTo>
                                <a:lnTo>
                                  <a:pt x="421449" y="619556"/>
                                </a:lnTo>
                                <a:lnTo>
                                  <a:pt x="421474" y="585190"/>
                                </a:lnTo>
                                <a:lnTo>
                                  <a:pt x="422592" y="582485"/>
                                </a:lnTo>
                                <a:lnTo>
                                  <a:pt x="582815" y="422275"/>
                                </a:lnTo>
                                <a:lnTo>
                                  <a:pt x="585495" y="421157"/>
                                </a:lnTo>
                                <a:lnTo>
                                  <a:pt x="641108" y="421157"/>
                                </a:lnTo>
                                <a:lnTo>
                                  <a:pt x="641108" y="370878"/>
                                </a:lnTo>
                                <a:lnTo>
                                  <a:pt x="566039" y="370878"/>
                                </a:lnTo>
                                <a:lnTo>
                                  <a:pt x="560971" y="372973"/>
                                </a:lnTo>
                                <a:lnTo>
                                  <a:pt x="373316" y="560654"/>
                                </a:lnTo>
                                <a:lnTo>
                                  <a:pt x="371182" y="565759"/>
                                </a:lnTo>
                                <a:lnTo>
                                  <a:pt x="371132" y="670852"/>
                                </a:lnTo>
                                <a:lnTo>
                                  <a:pt x="372694" y="678675"/>
                                </a:lnTo>
                                <a:lnTo>
                                  <a:pt x="376999" y="685076"/>
                                </a:lnTo>
                                <a:lnTo>
                                  <a:pt x="383387" y="689394"/>
                                </a:lnTo>
                                <a:lnTo>
                                  <a:pt x="391210" y="690994"/>
                                </a:lnTo>
                                <a:lnTo>
                                  <a:pt x="496023" y="691349"/>
                                </a:lnTo>
                                <a:lnTo>
                                  <a:pt x="501142" y="689241"/>
                                </a:lnTo>
                                <a:lnTo>
                                  <a:pt x="549440" y="640994"/>
                                </a:lnTo>
                                <a:lnTo>
                                  <a:pt x="686282" y="504075"/>
                                </a:lnTo>
                                <a:lnTo>
                                  <a:pt x="686892" y="502983"/>
                                </a:lnTo>
                                <a:lnTo>
                                  <a:pt x="687730" y="501726"/>
                                </a:lnTo>
                                <a:lnTo>
                                  <a:pt x="691388" y="421157"/>
                                </a:lnTo>
                                <a:lnTo>
                                  <a:pt x="691426" y="391045"/>
                                </a:lnTo>
                                <a:close/>
                              </a:path>
                            </a:pathLst>
                          </a:custGeom>
                          <a:solidFill>
                            <a:srgbClr val="939598"/>
                          </a:solidFill>
                        </wps:spPr>
                        <wps:bodyPr wrap="square" lIns="0" tIns="0" rIns="0" bIns="0" rtlCol="0">
                          <a:prstTxWarp prst="textNoShape">
                            <a:avLst/>
                          </a:prstTxWarp>
                          <a:noAutofit/>
                        </wps:bodyPr>
                      </wps:wsp>
                    </wpg:wgp>
                  </a:graphicData>
                </a:graphic>
              </wp:anchor>
            </w:drawing>
          </mc:Choice>
          <mc:Fallback>
            <w:pict>
              <v:group style="position:absolute;margin-left:151.068207pt;margin-top:4.739500pt;width:54.45pt;height:54.45pt;mso-position-horizontal-relative:page;mso-position-vertical-relative:paragraph;z-index:15730176" id="docshapegroup13" coordorigin="3021,95" coordsize="1089,1089">
                <v:shape style="position:absolute;left:3309;top:383;width:513;height:513" id="docshape14" coordorigin="3309,383" coordsize="513,513" path="m3565,383l3553,385,3543,392,3318,617,3311,627,3309,639,3311,651,3318,662,3543,886,3553,893,3565,895,3577,893,3588,886,3690,783,3565,783,3553,781,3543,774,3431,662,3424,651,3421,639,3424,627,3431,617,3543,505,3553,498,3565,495,3690,495,3588,392,3577,385,3565,383xm3690,495l3565,495,3577,498,3588,505,3700,617,3707,627,3709,639,3707,651,3700,662,3588,774,3577,781,3565,783,3690,783,3812,662,3819,651,3821,639,3819,627,3812,617,3690,495xe" filled="true" fillcolor="#902635" stroked="false">
                  <v:path arrowok="t"/>
                  <v:fill type="solid"/>
                </v:shape>
                <v:shape style="position:absolute;left:3021;top:94;width:1089;height:1089" id="docshape15" coordorigin="3021,95" coordsize="1089,1089" path="m3526,986l3523,978,3517,972,3447,902,3447,1018,3447,1104,3362,1104,3354,1100,3104,851,3101,842,3101,791,3104,778,3111,768,3121,760,3134,758,3186,758,3194,761,3443,1010,3447,1018,3447,902,3303,758,3227,682,3219,679,3053,679,3041,681,3031,688,3024,698,3021,710,3021,875,3025,883,3321,1179,3329,1183,3494,1183,3507,1180,3517,1174,3524,1164,3526,1151,3526,1104,3526,986xm3526,127l3524,115,3517,104,3507,97,3495,95,3447,95,3447,208,3447,262,3445,266,3193,519,3189,520,3101,520,3101,433,3103,429,3356,176,3360,174,3413,174,3427,177,3437,184,3444,195,3447,208,3447,95,3329,95,3321,98,3031,388,3030,390,3029,391,3028,393,3026,397,3023,404,3022,408,3022,409,3022,411,3022,568,3024,580,3031,590,3041,597,3054,599,3219,599,3227,596,3303,520,3523,301,3526,293,3526,174,3526,127xm4109,402l4106,394,4030,318,4030,433,4030,487,4028,500,4020,511,4010,518,3997,520,3943,520,3939,519,3686,266,3684,261,3684,175,3772,175,3776,176,4028,429,4030,433,4030,318,3886,175,3810,99,3802,95,3637,95,3625,98,3615,105,3608,115,3605,127,3605,261,3605,292,3608,300,3904,596,3913,600,4078,600,4090,597,4100,590,4107,580,4109,568,4109,520,4109,402xm4110,711l4108,698,4101,688,4091,681,4079,679,4031,679,4031,758,4031,845,4029,850,3776,1102,3772,1104,3719,1104,3705,1101,3695,1094,3688,1084,3685,1070,3685,1016,3687,1012,3939,760,3943,758,4031,758,4031,679,3913,679,3905,682,3609,978,3606,986,3606,1151,3608,1164,3615,1174,3625,1180,3637,1183,3803,1184,3811,1180,3887,1104,4102,889,4103,887,4104,885,4106,881,4109,875,4110,870,4110,869,4110,850,4110,758,4110,711xe" filled="true" fillcolor="#939598" stroked="false">
                  <v:path arrowok="t"/>
                  <v:fill type="solid"/>
                </v:shape>
                <w10:wrap type="none"/>
              </v:group>
            </w:pict>
          </mc:Fallback>
        </mc:AlternateContent>
      </w:r>
      <w:r>
        <w:rPr>
          <w:color w:val="231F20"/>
        </w:rPr>
        <w:t>XIAMEN</w:t>
      </w:r>
      <w:r>
        <w:rPr>
          <w:color w:val="231F20"/>
          <w:spacing w:val="46"/>
        </w:rPr>
        <w:t> </w:t>
      </w:r>
      <w:r>
        <w:rPr>
          <w:color w:val="231F20"/>
        </w:rPr>
        <w:t>JIHONG</w:t>
      </w:r>
      <w:r>
        <w:rPr>
          <w:color w:val="231F20"/>
          <w:spacing w:val="47"/>
        </w:rPr>
        <w:t> </w:t>
      </w:r>
      <w:r>
        <w:rPr>
          <w:color w:val="231F20"/>
        </w:rPr>
        <w:t>CO.,</w:t>
      </w:r>
      <w:r>
        <w:rPr>
          <w:color w:val="231F20"/>
          <w:spacing w:val="47"/>
        </w:rPr>
        <w:t> </w:t>
      </w:r>
      <w:r>
        <w:rPr>
          <w:color w:val="231F20"/>
          <w:spacing w:val="-5"/>
        </w:rPr>
        <w:t>LTD</w:t>
      </w:r>
    </w:p>
    <w:p>
      <w:pPr>
        <w:pStyle w:val="Heading2"/>
      </w:pPr>
      <w:r>
        <w:rPr>
          <w:color w:val="231F20"/>
          <w:spacing w:val="50"/>
        </w:rPr>
        <w:t>廈門吉宏科技股份有限公司</w:t>
      </w:r>
    </w:p>
    <w:p>
      <w:pPr>
        <w:spacing w:before="38"/>
        <w:ind w:left="685" w:right="681" w:firstLine="0"/>
        <w:jc w:val="center"/>
        <w:rPr>
          <w:i/>
          <w:sz w:val="18"/>
        </w:rPr>
      </w:pPr>
      <w:r>
        <w:rPr>
          <w:i/>
          <w:color w:val="231F20"/>
          <w:sz w:val="18"/>
        </w:rPr>
        <w:t>(a</w:t>
      </w:r>
      <w:r>
        <w:rPr>
          <w:i/>
          <w:color w:val="231F20"/>
          <w:spacing w:val="24"/>
          <w:sz w:val="18"/>
        </w:rPr>
        <w:t> </w:t>
      </w:r>
      <w:r>
        <w:rPr>
          <w:i/>
          <w:color w:val="231F20"/>
          <w:sz w:val="18"/>
        </w:rPr>
        <w:t>joint</w:t>
      </w:r>
      <w:r>
        <w:rPr>
          <w:i/>
          <w:color w:val="231F20"/>
          <w:spacing w:val="25"/>
          <w:sz w:val="18"/>
        </w:rPr>
        <w:t> </w:t>
      </w:r>
      <w:r>
        <w:rPr>
          <w:i/>
          <w:color w:val="231F20"/>
          <w:sz w:val="18"/>
        </w:rPr>
        <w:t>stock</w:t>
      </w:r>
      <w:r>
        <w:rPr>
          <w:i/>
          <w:color w:val="231F20"/>
          <w:spacing w:val="24"/>
          <w:sz w:val="18"/>
        </w:rPr>
        <w:t> </w:t>
      </w:r>
      <w:r>
        <w:rPr>
          <w:i/>
          <w:color w:val="231F20"/>
          <w:sz w:val="18"/>
        </w:rPr>
        <w:t>company</w:t>
      </w:r>
      <w:r>
        <w:rPr>
          <w:i/>
          <w:color w:val="231F20"/>
          <w:spacing w:val="25"/>
          <w:sz w:val="18"/>
        </w:rPr>
        <w:t> </w:t>
      </w:r>
      <w:r>
        <w:rPr>
          <w:i/>
          <w:color w:val="231F20"/>
          <w:sz w:val="18"/>
        </w:rPr>
        <w:t>incorporated</w:t>
      </w:r>
      <w:r>
        <w:rPr>
          <w:i/>
          <w:color w:val="231F20"/>
          <w:spacing w:val="25"/>
          <w:sz w:val="18"/>
        </w:rPr>
        <w:t> </w:t>
      </w:r>
      <w:r>
        <w:rPr>
          <w:i/>
          <w:color w:val="231F20"/>
          <w:sz w:val="18"/>
        </w:rPr>
        <w:t>in</w:t>
      </w:r>
      <w:r>
        <w:rPr>
          <w:i/>
          <w:color w:val="231F20"/>
          <w:spacing w:val="24"/>
          <w:sz w:val="18"/>
        </w:rPr>
        <w:t> </w:t>
      </w:r>
      <w:r>
        <w:rPr>
          <w:i/>
          <w:color w:val="231F20"/>
          <w:sz w:val="18"/>
        </w:rPr>
        <w:t>the</w:t>
      </w:r>
      <w:r>
        <w:rPr>
          <w:i/>
          <w:color w:val="231F20"/>
          <w:spacing w:val="25"/>
          <w:sz w:val="18"/>
        </w:rPr>
        <w:t> </w:t>
      </w:r>
      <w:r>
        <w:rPr>
          <w:i/>
          <w:color w:val="231F20"/>
          <w:sz w:val="18"/>
        </w:rPr>
        <w:t>People’s</w:t>
      </w:r>
      <w:r>
        <w:rPr>
          <w:i/>
          <w:color w:val="231F20"/>
          <w:spacing w:val="25"/>
          <w:sz w:val="18"/>
        </w:rPr>
        <w:t> </w:t>
      </w:r>
      <w:r>
        <w:rPr>
          <w:i/>
          <w:color w:val="231F20"/>
          <w:sz w:val="18"/>
        </w:rPr>
        <w:t>Republic</w:t>
      </w:r>
      <w:r>
        <w:rPr>
          <w:i/>
          <w:color w:val="231F20"/>
          <w:spacing w:val="24"/>
          <w:sz w:val="18"/>
        </w:rPr>
        <w:t> </w:t>
      </w:r>
      <w:r>
        <w:rPr>
          <w:i/>
          <w:color w:val="231F20"/>
          <w:sz w:val="18"/>
        </w:rPr>
        <w:t>of</w:t>
      </w:r>
      <w:r>
        <w:rPr>
          <w:i/>
          <w:color w:val="231F20"/>
          <w:spacing w:val="25"/>
          <w:sz w:val="18"/>
        </w:rPr>
        <w:t> </w:t>
      </w:r>
      <w:r>
        <w:rPr>
          <w:i/>
          <w:color w:val="231F20"/>
          <w:sz w:val="18"/>
        </w:rPr>
        <w:t>China</w:t>
      </w:r>
      <w:r>
        <w:rPr>
          <w:i/>
          <w:color w:val="231F20"/>
          <w:spacing w:val="25"/>
          <w:sz w:val="18"/>
        </w:rPr>
        <w:t> </w:t>
      </w:r>
      <w:r>
        <w:rPr>
          <w:i/>
          <w:color w:val="231F20"/>
          <w:sz w:val="18"/>
        </w:rPr>
        <w:t>with</w:t>
      </w:r>
      <w:r>
        <w:rPr>
          <w:i/>
          <w:color w:val="231F20"/>
          <w:spacing w:val="24"/>
          <w:sz w:val="18"/>
        </w:rPr>
        <w:t> </w:t>
      </w:r>
      <w:r>
        <w:rPr>
          <w:i/>
          <w:color w:val="231F20"/>
          <w:sz w:val="18"/>
        </w:rPr>
        <w:t>limited</w:t>
      </w:r>
      <w:r>
        <w:rPr>
          <w:i/>
          <w:color w:val="231F20"/>
          <w:spacing w:val="25"/>
          <w:sz w:val="18"/>
        </w:rPr>
        <w:t> </w:t>
      </w:r>
      <w:r>
        <w:rPr>
          <w:i/>
          <w:color w:val="231F20"/>
          <w:spacing w:val="-2"/>
          <w:sz w:val="18"/>
        </w:rPr>
        <w:t>liability)</w:t>
      </w:r>
    </w:p>
    <w:p>
      <w:pPr>
        <w:spacing w:before="57"/>
        <w:ind w:left="687" w:right="681" w:firstLine="0"/>
        <w:jc w:val="center"/>
        <w:rPr>
          <w:b/>
          <w:sz w:val="24"/>
        </w:rPr>
      </w:pPr>
      <w:r>
        <w:rPr>
          <w:b/>
          <w:color w:val="231F20"/>
          <w:sz w:val="24"/>
        </w:rPr>
        <w:t>(Stock</w:t>
      </w:r>
      <w:r>
        <w:rPr>
          <w:b/>
          <w:color w:val="231F20"/>
          <w:spacing w:val="32"/>
          <w:sz w:val="24"/>
        </w:rPr>
        <w:t> </w:t>
      </w:r>
      <w:r>
        <w:rPr>
          <w:b/>
          <w:color w:val="231F20"/>
          <w:sz w:val="24"/>
        </w:rPr>
        <w:t>Code:</w:t>
      </w:r>
      <w:r>
        <w:rPr>
          <w:b/>
          <w:color w:val="231F20"/>
          <w:spacing w:val="32"/>
          <w:sz w:val="24"/>
        </w:rPr>
        <w:t> </w:t>
      </w:r>
      <w:r>
        <w:rPr>
          <w:b/>
          <w:color w:val="231F20"/>
          <w:spacing w:val="-2"/>
          <w:sz w:val="24"/>
        </w:rPr>
        <w:t>2603)</w:t>
      </w:r>
    </w:p>
    <w:p>
      <w:pPr>
        <w:pStyle w:val="BodyText"/>
        <w:spacing w:before="4"/>
        <w:rPr>
          <w:b/>
          <w:sz w:val="19"/>
        </w:rPr>
      </w:pPr>
    </w:p>
    <w:p>
      <w:pPr>
        <w:pStyle w:val="BodyText"/>
        <w:spacing w:after="0"/>
        <w:rPr>
          <w:b/>
          <w:sz w:val="19"/>
        </w:rPr>
        <w:sectPr>
          <w:headerReference w:type="default" r:id="rId12"/>
          <w:footerReference w:type="default" r:id="rId13"/>
          <w:pgSz w:w="11910" w:h="15880"/>
          <w:pgMar w:header="567" w:footer="573" w:top="1300" w:bottom="760" w:left="1275" w:right="1275"/>
        </w:sectPr>
      </w:pPr>
    </w:p>
    <w:p>
      <w:pPr>
        <w:spacing w:before="99"/>
        <w:ind w:left="142" w:right="0" w:firstLine="0"/>
        <w:jc w:val="left"/>
        <w:rPr>
          <w:i/>
          <w:sz w:val="20"/>
        </w:rPr>
      </w:pPr>
      <w:r>
        <w:rPr>
          <w:i/>
          <w:color w:val="231F20"/>
          <w:sz w:val="20"/>
        </w:rPr>
        <w:t>Executive</w:t>
      </w:r>
      <w:r>
        <w:rPr>
          <w:i/>
          <w:color w:val="231F20"/>
          <w:spacing w:val="65"/>
          <w:sz w:val="20"/>
        </w:rPr>
        <w:t> </w:t>
      </w:r>
      <w:r>
        <w:rPr>
          <w:i/>
          <w:color w:val="231F20"/>
          <w:spacing w:val="-2"/>
          <w:sz w:val="20"/>
        </w:rPr>
        <w:t>Directors:</w:t>
      </w:r>
    </w:p>
    <w:p>
      <w:pPr>
        <w:spacing w:line="292" w:lineRule="auto" w:before="50"/>
        <w:ind w:left="142" w:right="504" w:firstLine="0"/>
        <w:jc w:val="left"/>
        <w:rPr>
          <w:i/>
          <w:sz w:val="20"/>
        </w:rPr>
      </w:pPr>
      <w:r>
        <w:rPr>
          <w:color w:val="231F20"/>
          <w:sz w:val="20"/>
        </w:rPr>
        <w:t>WANG Yapeng </w:t>
      </w:r>
      <w:r>
        <w:rPr>
          <w:i/>
          <w:color w:val="231F20"/>
          <w:sz w:val="20"/>
        </w:rPr>
        <w:t>(Chairman)</w:t>
      </w:r>
      <w:r>
        <w:rPr>
          <w:i/>
          <w:color w:val="231F20"/>
          <w:spacing w:val="40"/>
          <w:sz w:val="20"/>
        </w:rPr>
        <w:t> </w:t>
      </w:r>
      <w:r>
        <w:rPr>
          <w:color w:val="231F20"/>
          <w:sz w:val="20"/>
        </w:rPr>
        <w:t>ZHUANG Hao </w:t>
      </w:r>
      <w:r>
        <w:rPr>
          <w:i/>
          <w:color w:val="231F20"/>
          <w:sz w:val="20"/>
        </w:rPr>
        <w:t>(General Manager)</w:t>
      </w:r>
      <w:r>
        <w:rPr>
          <w:i/>
          <w:color w:val="231F20"/>
          <w:sz w:val="20"/>
        </w:rPr>
        <w:t> </w:t>
      </w:r>
      <w:r>
        <w:rPr>
          <w:color w:val="231F20"/>
          <w:sz w:val="20"/>
        </w:rPr>
        <w:t>ZHANG Heping </w:t>
      </w:r>
      <w:r>
        <w:rPr>
          <w:i/>
          <w:color w:val="231F20"/>
          <w:sz w:val="20"/>
        </w:rPr>
        <w:t>(Vice Chairman </w:t>
      </w:r>
      <w:r>
        <w:rPr>
          <w:i/>
          <w:color w:val="231F20"/>
          <w:sz w:val="20"/>
        </w:rPr>
        <w:t>and</w:t>
      </w:r>
    </w:p>
    <w:p>
      <w:pPr>
        <w:spacing w:line="228" w:lineRule="exact" w:before="0"/>
        <w:ind w:left="347" w:right="0" w:firstLine="0"/>
        <w:jc w:val="left"/>
        <w:rPr>
          <w:i/>
          <w:sz w:val="20"/>
        </w:rPr>
      </w:pPr>
      <w:r>
        <w:rPr>
          <w:i/>
          <w:color w:val="231F20"/>
          <w:sz w:val="20"/>
        </w:rPr>
        <w:t>Deputy</w:t>
      </w:r>
      <w:r>
        <w:rPr>
          <w:i/>
          <w:color w:val="231F20"/>
          <w:spacing w:val="27"/>
          <w:sz w:val="20"/>
        </w:rPr>
        <w:t> </w:t>
      </w:r>
      <w:r>
        <w:rPr>
          <w:i/>
          <w:color w:val="231F20"/>
          <w:sz w:val="20"/>
        </w:rPr>
        <w:t>General</w:t>
      </w:r>
      <w:r>
        <w:rPr>
          <w:i/>
          <w:color w:val="231F20"/>
          <w:spacing w:val="27"/>
          <w:sz w:val="20"/>
        </w:rPr>
        <w:t> </w:t>
      </w:r>
      <w:r>
        <w:rPr>
          <w:i/>
          <w:color w:val="231F20"/>
          <w:spacing w:val="-2"/>
          <w:sz w:val="20"/>
        </w:rPr>
        <w:t>Manager)</w:t>
      </w:r>
    </w:p>
    <w:p>
      <w:pPr>
        <w:spacing w:before="50"/>
        <w:ind w:left="142" w:right="0" w:firstLine="0"/>
        <w:jc w:val="left"/>
        <w:rPr>
          <w:i/>
          <w:sz w:val="20"/>
        </w:rPr>
      </w:pPr>
      <w:r>
        <w:rPr>
          <w:color w:val="231F20"/>
          <w:sz w:val="20"/>
        </w:rPr>
        <w:t>ZHUANG</w:t>
      </w:r>
      <w:r>
        <w:rPr>
          <w:color w:val="231F20"/>
          <w:spacing w:val="26"/>
          <w:sz w:val="20"/>
        </w:rPr>
        <w:t> </w:t>
      </w:r>
      <w:r>
        <w:rPr>
          <w:color w:val="231F20"/>
          <w:sz w:val="20"/>
        </w:rPr>
        <w:t>Shu</w:t>
      </w:r>
      <w:r>
        <w:rPr>
          <w:color w:val="231F20"/>
          <w:spacing w:val="26"/>
          <w:sz w:val="20"/>
        </w:rPr>
        <w:t> </w:t>
      </w:r>
      <w:r>
        <w:rPr>
          <w:i/>
          <w:color w:val="231F20"/>
          <w:sz w:val="20"/>
        </w:rPr>
        <w:t>(Deputy</w:t>
      </w:r>
      <w:r>
        <w:rPr>
          <w:i/>
          <w:color w:val="231F20"/>
          <w:spacing w:val="27"/>
          <w:sz w:val="20"/>
        </w:rPr>
        <w:t> </w:t>
      </w:r>
      <w:r>
        <w:rPr>
          <w:i/>
          <w:color w:val="231F20"/>
          <w:sz w:val="20"/>
        </w:rPr>
        <w:t>General</w:t>
      </w:r>
      <w:r>
        <w:rPr>
          <w:i/>
          <w:color w:val="231F20"/>
          <w:spacing w:val="26"/>
          <w:sz w:val="20"/>
        </w:rPr>
        <w:t> </w:t>
      </w:r>
      <w:r>
        <w:rPr>
          <w:i/>
          <w:color w:val="231F20"/>
          <w:spacing w:val="-2"/>
          <w:sz w:val="20"/>
        </w:rPr>
        <w:t>Manager)</w:t>
      </w:r>
    </w:p>
    <w:p>
      <w:pPr>
        <w:spacing w:before="50"/>
        <w:ind w:left="142" w:right="0" w:firstLine="0"/>
        <w:jc w:val="left"/>
        <w:rPr>
          <w:i/>
          <w:sz w:val="20"/>
        </w:rPr>
      </w:pPr>
      <w:r>
        <w:rPr>
          <w:color w:val="231F20"/>
          <w:sz w:val="20"/>
        </w:rPr>
        <w:t>LU</w:t>
      </w:r>
      <w:r>
        <w:rPr>
          <w:color w:val="231F20"/>
          <w:spacing w:val="28"/>
          <w:sz w:val="20"/>
        </w:rPr>
        <w:t> </w:t>
      </w:r>
      <w:r>
        <w:rPr>
          <w:color w:val="231F20"/>
          <w:sz w:val="20"/>
        </w:rPr>
        <w:t>Tashan</w:t>
      </w:r>
      <w:r>
        <w:rPr>
          <w:color w:val="231F20"/>
          <w:spacing w:val="28"/>
          <w:sz w:val="20"/>
        </w:rPr>
        <w:t> </w:t>
      </w:r>
      <w:r>
        <w:rPr>
          <w:i/>
          <w:color w:val="231F20"/>
          <w:sz w:val="20"/>
        </w:rPr>
        <w:t>(Joint</w:t>
      </w:r>
      <w:r>
        <w:rPr>
          <w:i/>
          <w:color w:val="231F20"/>
          <w:spacing w:val="29"/>
          <w:sz w:val="20"/>
        </w:rPr>
        <w:t> </w:t>
      </w:r>
      <w:r>
        <w:rPr>
          <w:i/>
          <w:color w:val="231F20"/>
          <w:sz w:val="20"/>
        </w:rPr>
        <w:t>Company</w:t>
      </w:r>
      <w:r>
        <w:rPr>
          <w:i/>
          <w:color w:val="231F20"/>
          <w:spacing w:val="29"/>
          <w:sz w:val="20"/>
        </w:rPr>
        <w:t> </w:t>
      </w:r>
      <w:r>
        <w:rPr>
          <w:i/>
          <w:color w:val="231F20"/>
          <w:spacing w:val="-2"/>
          <w:sz w:val="20"/>
        </w:rPr>
        <w:t>Secretary)</w:t>
      </w:r>
    </w:p>
    <w:p>
      <w:pPr>
        <w:pStyle w:val="BodyText"/>
        <w:spacing w:before="100"/>
        <w:rPr>
          <w:i/>
        </w:rPr>
      </w:pPr>
    </w:p>
    <w:p>
      <w:pPr>
        <w:spacing w:before="0"/>
        <w:ind w:left="142" w:right="0" w:firstLine="0"/>
        <w:jc w:val="left"/>
        <w:rPr>
          <w:i/>
          <w:sz w:val="20"/>
        </w:rPr>
      </w:pPr>
      <w:r>
        <w:rPr>
          <w:i/>
          <w:color w:val="231F20"/>
          <w:spacing w:val="2"/>
          <w:sz w:val="20"/>
        </w:rPr>
        <w:t>Non-Executive</w:t>
      </w:r>
      <w:r>
        <w:rPr>
          <w:i/>
          <w:color w:val="231F20"/>
          <w:spacing w:val="67"/>
          <w:sz w:val="20"/>
        </w:rPr>
        <w:t> </w:t>
      </w:r>
      <w:r>
        <w:rPr>
          <w:i/>
          <w:color w:val="231F20"/>
          <w:spacing w:val="-2"/>
          <w:sz w:val="20"/>
        </w:rPr>
        <w:t>Director:</w:t>
      </w:r>
    </w:p>
    <w:p>
      <w:pPr>
        <w:pStyle w:val="BodyText"/>
        <w:spacing w:before="50"/>
        <w:ind w:left="142"/>
      </w:pPr>
      <w:r>
        <w:rPr>
          <w:color w:val="231F20"/>
        </w:rPr>
        <w:t>LIAO</w:t>
      </w:r>
      <w:r>
        <w:rPr>
          <w:color w:val="231F20"/>
          <w:spacing w:val="19"/>
        </w:rPr>
        <w:t> </w:t>
      </w:r>
      <w:r>
        <w:rPr>
          <w:color w:val="231F20"/>
          <w:spacing w:val="-2"/>
        </w:rPr>
        <w:t>Shengxing</w:t>
      </w:r>
    </w:p>
    <w:p>
      <w:pPr>
        <w:pStyle w:val="BodyText"/>
        <w:spacing w:before="100"/>
      </w:pPr>
    </w:p>
    <w:p>
      <w:pPr>
        <w:spacing w:before="0"/>
        <w:ind w:left="142" w:right="0" w:firstLine="0"/>
        <w:jc w:val="left"/>
        <w:rPr>
          <w:i/>
          <w:sz w:val="20"/>
        </w:rPr>
      </w:pPr>
      <w:r>
        <w:rPr>
          <w:i/>
          <w:color w:val="231F20"/>
          <w:spacing w:val="2"/>
          <w:sz w:val="20"/>
        </w:rPr>
        <w:t>Independent</w:t>
      </w:r>
      <w:r>
        <w:rPr>
          <w:i/>
          <w:color w:val="231F20"/>
          <w:spacing w:val="52"/>
          <w:sz w:val="20"/>
        </w:rPr>
        <w:t> </w:t>
      </w:r>
      <w:r>
        <w:rPr>
          <w:i/>
          <w:color w:val="231F20"/>
          <w:spacing w:val="2"/>
          <w:sz w:val="20"/>
        </w:rPr>
        <w:t>Non-Executive</w:t>
      </w:r>
      <w:r>
        <w:rPr>
          <w:i/>
          <w:color w:val="231F20"/>
          <w:spacing w:val="53"/>
          <w:sz w:val="20"/>
        </w:rPr>
        <w:t> </w:t>
      </w:r>
      <w:r>
        <w:rPr>
          <w:i/>
          <w:color w:val="231F20"/>
          <w:spacing w:val="-2"/>
          <w:sz w:val="20"/>
        </w:rPr>
        <w:t>Directors:</w:t>
      </w:r>
    </w:p>
    <w:p>
      <w:pPr>
        <w:pStyle w:val="BodyText"/>
        <w:spacing w:line="292" w:lineRule="auto" w:before="50"/>
        <w:ind w:left="142" w:right="1760"/>
      </w:pPr>
      <w:r>
        <w:rPr>
          <w:color w:val="231F20"/>
        </w:rPr>
        <w:t>ZHANG Guoqing YANG</w:t>
      </w:r>
      <w:r>
        <w:rPr>
          <w:color w:val="231F20"/>
          <w:spacing w:val="29"/>
        </w:rPr>
        <w:t> </w:t>
      </w:r>
      <w:r>
        <w:rPr>
          <w:color w:val="231F20"/>
        </w:rPr>
        <w:t>Chenhui</w:t>
      </w:r>
      <w:r>
        <w:rPr>
          <w:color w:val="231F20"/>
          <w:spacing w:val="80"/>
          <w:w w:val="150"/>
        </w:rPr>
        <w:t> </w:t>
      </w:r>
      <w:r>
        <w:rPr>
          <w:color w:val="231F20"/>
        </w:rPr>
        <w:t>Alfred SIT Wing </w:t>
      </w:r>
      <w:r>
        <w:rPr>
          <w:color w:val="231F20"/>
        </w:rPr>
        <w:t>Hang HAN Jianshu</w:t>
      </w:r>
    </w:p>
    <w:p>
      <w:pPr>
        <w:pStyle w:val="BodyText"/>
        <w:spacing w:line="228" w:lineRule="exact"/>
        <w:ind w:left="142"/>
      </w:pPr>
      <w:r>
        <w:rPr>
          <w:color w:val="231F20"/>
        </w:rPr>
        <w:t>NG</w:t>
      </w:r>
      <w:r>
        <w:rPr>
          <w:color w:val="231F20"/>
          <w:spacing w:val="18"/>
        </w:rPr>
        <w:t> </w:t>
      </w:r>
      <w:r>
        <w:rPr>
          <w:color w:val="231F20"/>
        </w:rPr>
        <w:t>Weng</w:t>
      </w:r>
      <w:r>
        <w:rPr>
          <w:color w:val="231F20"/>
          <w:spacing w:val="19"/>
        </w:rPr>
        <w:t> </w:t>
      </w:r>
      <w:r>
        <w:rPr>
          <w:color w:val="231F20"/>
          <w:spacing w:val="-5"/>
        </w:rPr>
        <w:t>Sin</w:t>
      </w:r>
    </w:p>
    <w:p>
      <w:pPr>
        <w:spacing w:before="99"/>
        <w:ind w:left="142" w:right="0" w:firstLine="0"/>
        <w:jc w:val="left"/>
        <w:rPr>
          <w:i/>
          <w:sz w:val="20"/>
        </w:rPr>
      </w:pPr>
      <w:r>
        <w:rPr/>
        <w:br w:type="column"/>
      </w:r>
      <w:r>
        <w:rPr>
          <w:i/>
          <w:color w:val="231F20"/>
          <w:sz w:val="20"/>
        </w:rPr>
        <w:t>Registered</w:t>
      </w:r>
      <w:r>
        <w:rPr>
          <w:i/>
          <w:color w:val="231F20"/>
          <w:spacing w:val="55"/>
          <w:sz w:val="20"/>
        </w:rPr>
        <w:t> </w:t>
      </w:r>
      <w:r>
        <w:rPr>
          <w:i/>
          <w:color w:val="231F20"/>
          <w:spacing w:val="-2"/>
          <w:sz w:val="20"/>
        </w:rPr>
        <w:t>Office:</w:t>
      </w:r>
    </w:p>
    <w:p>
      <w:pPr>
        <w:pStyle w:val="BodyText"/>
        <w:spacing w:line="292" w:lineRule="auto" w:before="50"/>
        <w:ind w:left="142" w:right="1581"/>
      </w:pPr>
      <w:r>
        <w:rPr>
          <w:color w:val="231F20"/>
        </w:rPr>
        <w:t>No. 9 Putou Road Dongfu Industry Park </w:t>
      </w:r>
      <w:r>
        <w:rPr>
          <w:color w:val="231F20"/>
        </w:rPr>
        <w:t>II Haicang</w:t>
      </w:r>
      <w:r>
        <w:rPr>
          <w:color w:val="231F20"/>
          <w:spacing w:val="29"/>
        </w:rPr>
        <w:t> </w:t>
      </w:r>
      <w:r>
        <w:rPr>
          <w:color w:val="231F20"/>
        </w:rPr>
        <w:t>District</w:t>
      </w:r>
      <w:r>
        <w:rPr>
          <w:color w:val="231F20"/>
          <w:spacing w:val="80"/>
        </w:rPr>
        <w:t> </w:t>
      </w:r>
      <w:r>
        <w:rPr>
          <w:color w:val="231F20"/>
          <w:spacing w:val="-2"/>
        </w:rPr>
        <w:t>Xiamen</w:t>
      </w:r>
    </w:p>
    <w:p>
      <w:pPr>
        <w:pStyle w:val="BodyText"/>
        <w:spacing w:line="292" w:lineRule="auto"/>
        <w:ind w:left="142" w:right="1930"/>
      </w:pPr>
      <w:r>
        <w:rPr>
          <w:color w:val="231F20"/>
        </w:rPr>
        <w:t>Fujian </w:t>
      </w:r>
      <w:r>
        <w:rPr>
          <w:color w:val="231F20"/>
        </w:rPr>
        <w:t>Province </w:t>
      </w:r>
      <w:r>
        <w:rPr>
          <w:color w:val="231F20"/>
          <w:spacing w:val="-4"/>
        </w:rPr>
        <w:t>PRC</w:t>
      </w:r>
    </w:p>
    <w:p>
      <w:pPr>
        <w:pStyle w:val="BodyText"/>
        <w:spacing w:before="46"/>
      </w:pPr>
    </w:p>
    <w:p>
      <w:pPr>
        <w:spacing w:before="0"/>
        <w:ind w:left="142" w:right="0" w:firstLine="0"/>
        <w:jc w:val="left"/>
        <w:rPr>
          <w:i/>
          <w:sz w:val="20"/>
        </w:rPr>
      </w:pPr>
      <w:r>
        <w:rPr>
          <w:i/>
          <w:color w:val="231F20"/>
          <w:sz w:val="20"/>
        </w:rPr>
        <w:t>Principal</w:t>
      </w:r>
      <w:r>
        <w:rPr>
          <w:i/>
          <w:color w:val="231F20"/>
          <w:spacing w:val="-7"/>
          <w:sz w:val="20"/>
        </w:rPr>
        <w:t> </w:t>
      </w:r>
      <w:r>
        <w:rPr>
          <w:i/>
          <w:color w:val="231F20"/>
          <w:sz w:val="20"/>
        </w:rPr>
        <w:t>place</w:t>
      </w:r>
      <w:r>
        <w:rPr>
          <w:i/>
          <w:color w:val="231F20"/>
          <w:spacing w:val="-7"/>
          <w:sz w:val="20"/>
        </w:rPr>
        <w:t> </w:t>
      </w:r>
      <w:r>
        <w:rPr>
          <w:i/>
          <w:color w:val="231F20"/>
          <w:sz w:val="20"/>
        </w:rPr>
        <w:t>of</w:t>
      </w:r>
      <w:r>
        <w:rPr>
          <w:i/>
          <w:color w:val="231F20"/>
          <w:spacing w:val="-6"/>
          <w:sz w:val="20"/>
        </w:rPr>
        <w:t> </w:t>
      </w:r>
      <w:r>
        <w:rPr>
          <w:i/>
          <w:color w:val="231F20"/>
          <w:sz w:val="20"/>
        </w:rPr>
        <w:t>business</w:t>
      </w:r>
      <w:r>
        <w:rPr>
          <w:i/>
          <w:color w:val="231F20"/>
          <w:spacing w:val="-7"/>
          <w:sz w:val="20"/>
        </w:rPr>
        <w:t> </w:t>
      </w:r>
      <w:r>
        <w:rPr>
          <w:i/>
          <w:color w:val="231F20"/>
          <w:sz w:val="20"/>
        </w:rPr>
        <w:t>in</w:t>
      </w:r>
      <w:r>
        <w:rPr>
          <w:i/>
          <w:color w:val="231F20"/>
          <w:spacing w:val="-7"/>
          <w:sz w:val="20"/>
        </w:rPr>
        <w:t> </w:t>
      </w:r>
      <w:r>
        <w:rPr>
          <w:i/>
          <w:color w:val="231F20"/>
          <w:sz w:val="20"/>
        </w:rPr>
        <w:t>Hong</w:t>
      </w:r>
      <w:r>
        <w:rPr>
          <w:i/>
          <w:color w:val="231F20"/>
          <w:spacing w:val="-6"/>
          <w:sz w:val="20"/>
        </w:rPr>
        <w:t> </w:t>
      </w:r>
      <w:r>
        <w:rPr>
          <w:i/>
          <w:color w:val="231F20"/>
          <w:spacing w:val="-2"/>
          <w:sz w:val="20"/>
        </w:rPr>
        <w:t>Kong:</w:t>
      </w:r>
    </w:p>
    <w:p>
      <w:pPr>
        <w:pStyle w:val="BodyText"/>
        <w:spacing w:line="292" w:lineRule="auto" w:before="50"/>
        <w:ind w:left="142" w:right="2007"/>
      </w:pPr>
      <w:r>
        <w:rPr>
          <w:color w:val="231F20"/>
        </w:rPr>
        <w:t>Office 5, 15/F Bank of East </w:t>
      </w:r>
      <w:r>
        <w:rPr>
          <w:color w:val="231F20"/>
        </w:rPr>
        <w:t>Asia</w:t>
      </w:r>
    </w:p>
    <w:p>
      <w:pPr>
        <w:pStyle w:val="BodyText"/>
        <w:spacing w:line="292" w:lineRule="auto"/>
        <w:ind w:left="142" w:right="1521"/>
      </w:pPr>
      <w:r>
        <w:rPr>
          <w:color w:val="231F20"/>
        </w:rPr>
        <w:t>Harbour View Centre</w:t>
      </w:r>
      <w:r>
        <w:rPr>
          <w:color w:val="231F20"/>
          <w:spacing w:val="40"/>
        </w:rPr>
        <w:t> </w:t>
      </w:r>
      <w:r>
        <w:rPr>
          <w:color w:val="231F20"/>
        </w:rPr>
        <w:t>No. 56 Gloucester </w:t>
      </w:r>
      <w:r>
        <w:rPr>
          <w:color w:val="231F20"/>
        </w:rPr>
        <w:t>Road Hong Kong</w:t>
      </w:r>
    </w:p>
    <w:p>
      <w:pPr>
        <w:pStyle w:val="BodyText"/>
      </w:pPr>
    </w:p>
    <w:p>
      <w:pPr>
        <w:pStyle w:val="BodyText"/>
      </w:pPr>
    </w:p>
    <w:p>
      <w:pPr>
        <w:pStyle w:val="BodyText"/>
      </w:pPr>
    </w:p>
    <w:p>
      <w:pPr>
        <w:pStyle w:val="BodyText"/>
      </w:pPr>
    </w:p>
    <w:p>
      <w:pPr>
        <w:pStyle w:val="BodyText"/>
        <w:spacing w:before="7"/>
      </w:pPr>
    </w:p>
    <w:p>
      <w:pPr>
        <w:pStyle w:val="BodyText"/>
        <w:spacing w:before="1"/>
        <w:ind w:left="142"/>
      </w:pPr>
      <w:r>
        <w:rPr>
          <w:color w:val="231F20"/>
        </w:rPr>
        <w:t>August</w:t>
      </w:r>
      <w:r>
        <w:rPr>
          <w:color w:val="231F20"/>
          <w:spacing w:val="22"/>
        </w:rPr>
        <w:t> </w:t>
      </w:r>
      <w:r>
        <w:rPr>
          <w:color w:val="231F20"/>
        </w:rPr>
        <w:t>25,</w:t>
      </w:r>
      <w:r>
        <w:rPr>
          <w:color w:val="231F20"/>
          <w:spacing w:val="23"/>
        </w:rPr>
        <w:t> </w:t>
      </w:r>
      <w:r>
        <w:rPr>
          <w:color w:val="231F20"/>
          <w:spacing w:val="-4"/>
        </w:rPr>
        <w:t>2025</w:t>
      </w:r>
    </w:p>
    <w:p>
      <w:pPr>
        <w:pStyle w:val="BodyText"/>
        <w:spacing w:after="0"/>
        <w:sectPr>
          <w:type w:val="continuous"/>
          <w:pgSz w:w="11910" w:h="15880"/>
          <w:pgMar w:header="567" w:footer="573" w:top="1300" w:bottom="280" w:left="1275" w:right="1275"/>
          <w:cols w:num="2" w:equalWidth="0">
            <w:col w:w="3779" w:space="1890"/>
            <w:col w:w="3691"/>
          </w:cols>
        </w:sectPr>
      </w:pPr>
    </w:p>
    <w:p>
      <w:pPr>
        <w:pStyle w:val="BodyText"/>
        <w:spacing w:before="99"/>
      </w:pPr>
    </w:p>
    <w:p>
      <w:pPr>
        <w:spacing w:before="1"/>
        <w:ind w:left="142" w:right="0" w:firstLine="0"/>
        <w:jc w:val="left"/>
        <w:rPr>
          <w:i/>
          <w:sz w:val="20"/>
        </w:rPr>
      </w:pPr>
      <w:r>
        <w:rPr>
          <w:i/>
          <w:color w:val="231F20"/>
          <w:sz w:val="20"/>
        </w:rPr>
        <w:t>To</w:t>
      </w:r>
      <w:r>
        <w:rPr>
          <w:i/>
          <w:color w:val="231F20"/>
          <w:spacing w:val="22"/>
          <w:sz w:val="20"/>
        </w:rPr>
        <w:t> </w:t>
      </w:r>
      <w:r>
        <w:rPr>
          <w:i/>
          <w:color w:val="231F20"/>
          <w:sz w:val="20"/>
        </w:rPr>
        <w:t>the</w:t>
      </w:r>
      <w:r>
        <w:rPr>
          <w:i/>
          <w:color w:val="231F20"/>
          <w:spacing w:val="23"/>
          <w:sz w:val="20"/>
        </w:rPr>
        <w:t> </w:t>
      </w:r>
      <w:r>
        <w:rPr>
          <w:i/>
          <w:color w:val="231F20"/>
          <w:spacing w:val="-2"/>
          <w:sz w:val="20"/>
        </w:rPr>
        <w:t>Shareholder</w:t>
      </w:r>
    </w:p>
    <w:p>
      <w:pPr>
        <w:pStyle w:val="BodyText"/>
        <w:spacing w:before="99"/>
        <w:rPr>
          <w:i/>
        </w:rPr>
      </w:pPr>
    </w:p>
    <w:p>
      <w:pPr>
        <w:pStyle w:val="BodyText"/>
        <w:spacing w:before="1"/>
        <w:ind w:left="142"/>
      </w:pPr>
      <w:r>
        <w:rPr>
          <w:color w:val="231F20"/>
        </w:rPr>
        <w:t>Dear</w:t>
      </w:r>
      <w:r>
        <w:rPr>
          <w:color w:val="231F20"/>
          <w:spacing w:val="18"/>
        </w:rPr>
        <w:t> </w:t>
      </w:r>
      <w:r>
        <w:rPr>
          <w:color w:val="231F20"/>
        </w:rPr>
        <w:t>Sir</w:t>
      </w:r>
      <w:r>
        <w:rPr>
          <w:color w:val="231F20"/>
          <w:spacing w:val="20"/>
        </w:rPr>
        <w:t> </w:t>
      </w:r>
      <w:r>
        <w:rPr>
          <w:color w:val="231F20"/>
        </w:rPr>
        <w:t>or</w:t>
      </w:r>
      <w:r>
        <w:rPr>
          <w:color w:val="231F20"/>
          <w:spacing w:val="20"/>
        </w:rPr>
        <w:t> </w:t>
      </w:r>
      <w:r>
        <w:rPr>
          <w:color w:val="231F20"/>
          <w:spacing w:val="-2"/>
        </w:rPr>
        <w:t>Madam,</w:t>
      </w:r>
    </w:p>
    <w:p>
      <w:pPr>
        <w:pStyle w:val="BodyText"/>
        <w:spacing w:before="122"/>
      </w:pPr>
    </w:p>
    <w:p>
      <w:pPr>
        <w:pStyle w:val="ListParagraph"/>
        <w:numPr>
          <w:ilvl w:val="0"/>
          <w:numId w:val="2"/>
        </w:numPr>
        <w:tabs>
          <w:tab w:pos="820" w:val="left" w:leader="none"/>
        </w:tabs>
        <w:spacing w:line="240" w:lineRule="auto" w:before="0" w:after="0"/>
        <w:ind w:left="820" w:right="0" w:hanging="363"/>
        <w:jc w:val="left"/>
        <w:rPr>
          <w:b/>
          <w:sz w:val="24"/>
        </w:rPr>
      </w:pPr>
      <w:r>
        <w:rPr>
          <w:b/>
          <w:color w:val="231F20"/>
          <w:sz w:val="24"/>
        </w:rPr>
        <w:t>PROPOSED</w:t>
      </w:r>
      <w:r>
        <w:rPr>
          <w:b/>
          <w:color w:val="231F20"/>
          <w:spacing w:val="31"/>
          <w:sz w:val="24"/>
        </w:rPr>
        <w:t> </w:t>
      </w:r>
      <w:r>
        <w:rPr>
          <w:b/>
          <w:color w:val="231F20"/>
          <w:sz w:val="24"/>
        </w:rPr>
        <w:t>PROFIT</w:t>
      </w:r>
      <w:r>
        <w:rPr>
          <w:b/>
          <w:color w:val="231F20"/>
          <w:spacing w:val="32"/>
          <w:sz w:val="24"/>
        </w:rPr>
        <w:t> </w:t>
      </w:r>
      <w:r>
        <w:rPr>
          <w:b/>
          <w:color w:val="231F20"/>
          <w:sz w:val="24"/>
        </w:rPr>
        <w:t>DISTRIBUTION</w:t>
      </w:r>
      <w:r>
        <w:rPr>
          <w:b/>
          <w:color w:val="231F20"/>
          <w:spacing w:val="32"/>
          <w:sz w:val="24"/>
        </w:rPr>
        <w:t> </w:t>
      </w:r>
      <w:r>
        <w:rPr>
          <w:b/>
          <w:color w:val="231F20"/>
          <w:sz w:val="24"/>
        </w:rPr>
        <w:t>FOR</w:t>
      </w:r>
      <w:r>
        <w:rPr>
          <w:b/>
          <w:color w:val="231F20"/>
          <w:spacing w:val="33"/>
          <w:sz w:val="24"/>
        </w:rPr>
        <w:t> </w:t>
      </w:r>
      <w:r>
        <w:rPr>
          <w:b/>
          <w:color w:val="231F20"/>
          <w:sz w:val="24"/>
        </w:rPr>
        <w:t>THE</w:t>
      </w:r>
      <w:r>
        <w:rPr>
          <w:b/>
          <w:color w:val="231F20"/>
          <w:spacing w:val="32"/>
          <w:sz w:val="24"/>
        </w:rPr>
        <w:t> </w:t>
      </w:r>
      <w:r>
        <w:rPr>
          <w:b/>
          <w:color w:val="231F20"/>
          <w:sz w:val="24"/>
        </w:rPr>
        <w:t>FIRST</w:t>
      </w:r>
      <w:r>
        <w:rPr>
          <w:b/>
          <w:color w:val="231F20"/>
          <w:spacing w:val="33"/>
          <w:sz w:val="24"/>
        </w:rPr>
        <w:t> </w:t>
      </w:r>
      <w:r>
        <w:rPr>
          <w:b/>
          <w:color w:val="231F20"/>
          <w:sz w:val="24"/>
        </w:rPr>
        <w:t>HALF</w:t>
      </w:r>
      <w:r>
        <w:rPr>
          <w:b/>
          <w:color w:val="231F20"/>
          <w:spacing w:val="32"/>
          <w:sz w:val="24"/>
        </w:rPr>
        <w:t> </w:t>
      </w:r>
      <w:r>
        <w:rPr>
          <w:b/>
          <w:color w:val="231F20"/>
          <w:sz w:val="24"/>
        </w:rPr>
        <w:t>OF</w:t>
      </w:r>
      <w:r>
        <w:rPr>
          <w:b/>
          <w:color w:val="231F20"/>
          <w:spacing w:val="32"/>
          <w:sz w:val="24"/>
        </w:rPr>
        <w:t> </w:t>
      </w:r>
      <w:r>
        <w:rPr>
          <w:b/>
          <w:color w:val="231F20"/>
          <w:spacing w:val="-2"/>
          <w:sz w:val="24"/>
        </w:rPr>
        <w:t>2025;</w:t>
      </w:r>
    </w:p>
    <w:p>
      <w:pPr>
        <w:pStyle w:val="ListParagraph"/>
        <w:numPr>
          <w:ilvl w:val="0"/>
          <w:numId w:val="2"/>
        </w:numPr>
        <w:tabs>
          <w:tab w:pos="581" w:val="left" w:leader="none"/>
          <w:tab w:pos="2845" w:val="left" w:leader="none"/>
        </w:tabs>
        <w:spacing w:line="295" w:lineRule="auto" w:before="64" w:after="0"/>
        <w:ind w:left="2845" w:right="211" w:hanging="2627"/>
        <w:jc w:val="left"/>
        <w:rPr>
          <w:b/>
          <w:sz w:val="24"/>
        </w:rPr>
      </w:pPr>
      <w:r>
        <w:rPr>
          <w:b/>
          <w:color w:val="231F20"/>
          <w:sz w:val="24"/>
        </w:rPr>
        <w:t>PROPOSED ADJUSTMENT TO THE ESTIMATED GUARANTEE </w:t>
      </w:r>
      <w:r>
        <w:rPr>
          <w:b/>
          <w:color w:val="231F20"/>
          <w:sz w:val="24"/>
        </w:rPr>
        <w:t>AMOUNT</w:t>
      </w:r>
      <w:r>
        <w:rPr>
          <w:b/>
          <w:color w:val="231F20"/>
          <w:spacing w:val="80"/>
          <w:w w:val="150"/>
          <w:sz w:val="24"/>
        </w:rPr>
        <w:t> </w:t>
      </w:r>
      <w:r>
        <w:rPr>
          <w:b/>
          <w:color w:val="231F20"/>
          <w:sz w:val="24"/>
        </w:rPr>
        <w:t>PROVIDED TO SUBSIDIARIES;</w:t>
      </w:r>
    </w:p>
    <w:p>
      <w:pPr>
        <w:pStyle w:val="ListParagraph"/>
        <w:numPr>
          <w:ilvl w:val="0"/>
          <w:numId w:val="2"/>
        </w:numPr>
        <w:tabs>
          <w:tab w:pos="516" w:val="left" w:leader="none"/>
          <w:tab w:pos="2049" w:val="left" w:leader="none"/>
        </w:tabs>
        <w:spacing w:line="295" w:lineRule="auto" w:before="2" w:after="0"/>
        <w:ind w:left="2049" w:right="145" w:hanging="1896"/>
        <w:jc w:val="left"/>
        <w:rPr>
          <w:b/>
          <w:sz w:val="24"/>
        </w:rPr>
      </w:pPr>
      <w:r>
        <w:rPr>
          <w:b/>
          <w:color w:val="231F20"/>
          <w:sz w:val="24"/>
        </w:rPr>
        <w:t>PROPOSED ADJUSTMENT TO THE LIMIT FOR WEALTH </w:t>
      </w:r>
      <w:r>
        <w:rPr>
          <w:b/>
          <w:color w:val="231F20"/>
          <w:sz w:val="24"/>
        </w:rPr>
        <w:t>MANAGEMENT</w:t>
      </w:r>
      <w:r>
        <w:rPr>
          <w:b/>
          <w:color w:val="231F20"/>
          <w:spacing w:val="80"/>
          <w:w w:val="150"/>
          <w:sz w:val="24"/>
        </w:rPr>
        <w:t> </w:t>
      </w:r>
      <w:r>
        <w:rPr>
          <w:b/>
          <w:color w:val="231F20"/>
          <w:sz w:val="24"/>
        </w:rPr>
        <w:t>PRODUCTS</w:t>
      </w:r>
      <w:r>
        <w:rPr>
          <w:b/>
          <w:color w:val="231F20"/>
          <w:spacing w:val="40"/>
          <w:sz w:val="24"/>
        </w:rPr>
        <w:t> </w:t>
      </w:r>
      <w:r>
        <w:rPr>
          <w:b/>
          <w:color w:val="231F20"/>
          <w:sz w:val="24"/>
        </w:rPr>
        <w:t>USING</w:t>
      </w:r>
      <w:r>
        <w:rPr>
          <w:b/>
          <w:color w:val="231F20"/>
          <w:spacing w:val="40"/>
          <w:sz w:val="24"/>
        </w:rPr>
        <w:t> </w:t>
      </w:r>
      <w:r>
        <w:rPr>
          <w:b/>
          <w:color w:val="231F20"/>
          <w:sz w:val="24"/>
        </w:rPr>
        <w:t>INTERNAL</w:t>
      </w:r>
      <w:r>
        <w:rPr>
          <w:b/>
          <w:color w:val="231F20"/>
          <w:spacing w:val="40"/>
          <w:sz w:val="24"/>
        </w:rPr>
        <w:t> </w:t>
      </w:r>
      <w:r>
        <w:rPr>
          <w:b/>
          <w:color w:val="231F20"/>
          <w:sz w:val="24"/>
        </w:rPr>
        <w:t>IDLE</w:t>
      </w:r>
      <w:r>
        <w:rPr>
          <w:b/>
          <w:color w:val="231F20"/>
          <w:spacing w:val="40"/>
          <w:sz w:val="24"/>
        </w:rPr>
        <w:t> </w:t>
      </w:r>
      <w:r>
        <w:rPr>
          <w:b/>
          <w:color w:val="231F20"/>
          <w:sz w:val="24"/>
        </w:rPr>
        <w:t>FUNDS;</w:t>
      </w:r>
    </w:p>
    <w:p>
      <w:pPr>
        <w:spacing w:before="1"/>
        <w:ind w:left="4411" w:right="0" w:firstLine="0"/>
        <w:jc w:val="left"/>
        <w:rPr>
          <w:b/>
          <w:sz w:val="24"/>
        </w:rPr>
      </w:pPr>
      <w:r>
        <w:rPr>
          <w:b/>
          <w:color w:val="231F20"/>
          <w:spacing w:val="-5"/>
          <w:sz w:val="24"/>
        </w:rPr>
        <w:t>AND</w:t>
      </w:r>
    </w:p>
    <w:p>
      <w:pPr>
        <w:pStyle w:val="ListParagraph"/>
        <w:numPr>
          <w:ilvl w:val="0"/>
          <w:numId w:val="2"/>
        </w:numPr>
        <w:tabs>
          <w:tab w:pos="895" w:val="left" w:leader="none"/>
        </w:tabs>
        <w:spacing w:line="240" w:lineRule="auto" w:before="44" w:after="0"/>
        <w:ind w:left="895" w:right="0" w:hanging="363"/>
        <w:jc w:val="left"/>
        <w:rPr>
          <w:b/>
          <w:sz w:val="24"/>
        </w:rPr>
      </w:pPr>
      <w:r>
        <w:rPr>
          <w:b/>
          <w:color w:val="231F20"/>
          <w:sz w:val="24"/>
        </w:rPr>
        <w:t>NOTICE</w:t>
      </w:r>
      <w:r>
        <w:rPr>
          <w:b/>
          <w:color w:val="231F20"/>
          <w:spacing w:val="36"/>
          <w:sz w:val="24"/>
        </w:rPr>
        <w:t> </w:t>
      </w:r>
      <w:r>
        <w:rPr>
          <w:b/>
          <w:color w:val="231F20"/>
          <w:sz w:val="24"/>
        </w:rPr>
        <w:t>OF</w:t>
      </w:r>
      <w:r>
        <w:rPr>
          <w:b/>
          <w:color w:val="231F20"/>
          <w:spacing w:val="37"/>
          <w:sz w:val="24"/>
        </w:rPr>
        <w:t> </w:t>
      </w:r>
      <w:r>
        <w:rPr>
          <w:b/>
          <w:color w:val="231F20"/>
          <w:sz w:val="24"/>
        </w:rPr>
        <w:t>2025</w:t>
      </w:r>
      <w:r>
        <w:rPr>
          <w:b/>
          <w:color w:val="231F20"/>
          <w:spacing w:val="37"/>
          <w:sz w:val="24"/>
        </w:rPr>
        <w:t> </w:t>
      </w:r>
      <w:r>
        <w:rPr>
          <w:b/>
          <w:color w:val="231F20"/>
          <w:sz w:val="24"/>
        </w:rPr>
        <w:t>SECOND</w:t>
      </w:r>
      <w:r>
        <w:rPr>
          <w:b/>
          <w:color w:val="231F20"/>
          <w:spacing w:val="37"/>
          <w:sz w:val="24"/>
        </w:rPr>
        <w:t> </w:t>
      </w:r>
      <w:r>
        <w:rPr>
          <w:b/>
          <w:color w:val="231F20"/>
          <w:sz w:val="24"/>
        </w:rPr>
        <w:t>EXTRAORDINARY</w:t>
      </w:r>
      <w:r>
        <w:rPr>
          <w:b/>
          <w:color w:val="231F20"/>
          <w:spacing w:val="38"/>
          <w:sz w:val="24"/>
        </w:rPr>
        <w:t> </w:t>
      </w:r>
      <w:r>
        <w:rPr>
          <w:b/>
          <w:color w:val="231F20"/>
          <w:sz w:val="24"/>
        </w:rPr>
        <w:t>GENERAL</w:t>
      </w:r>
      <w:r>
        <w:rPr>
          <w:b/>
          <w:color w:val="231F20"/>
          <w:spacing w:val="37"/>
          <w:sz w:val="24"/>
        </w:rPr>
        <w:t> </w:t>
      </w:r>
      <w:r>
        <w:rPr>
          <w:b/>
          <w:color w:val="231F20"/>
          <w:spacing w:val="-2"/>
          <w:sz w:val="24"/>
        </w:rPr>
        <w:t>MEETING</w:t>
      </w:r>
    </w:p>
    <w:p>
      <w:pPr>
        <w:pStyle w:val="BodyText"/>
        <w:spacing w:before="45"/>
        <w:rPr>
          <w:b/>
          <w:sz w:val="24"/>
        </w:rPr>
      </w:pPr>
    </w:p>
    <w:p>
      <w:pPr>
        <w:pStyle w:val="Heading3"/>
        <w:numPr>
          <w:ilvl w:val="0"/>
          <w:numId w:val="3"/>
        </w:numPr>
        <w:tabs>
          <w:tab w:pos="709" w:val="left" w:leader="none"/>
        </w:tabs>
        <w:spacing w:line="240" w:lineRule="auto" w:before="0" w:after="0"/>
        <w:ind w:left="709" w:right="0" w:hanging="567"/>
        <w:jc w:val="left"/>
      </w:pPr>
      <w:r>
        <w:rPr>
          <w:color w:val="231F20"/>
          <w:spacing w:val="-2"/>
        </w:rPr>
        <w:t>INTRODUCTION</w:t>
      </w:r>
    </w:p>
    <w:p>
      <w:pPr>
        <w:pStyle w:val="BodyText"/>
        <w:spacing w:before="100"/>
        <w:rPr>
          <w:b/>
        </w:rPr>
      </w:pPr>
    </w:p>
    <w:p>
      <w:pPr>
        <w:pStyle w:val="BodyText"/>
        <w:spacing w:line="292" w:lineRule="auto"/>
        <w:ind w:left="142" w:right="134" w:firstLine="567"/>
        <w:jc w:val="both"/>
      </w:pPr>
      <w:r>
        <w:rPr>
          <w:color w:val="231F20"/>
        </w:rPr>
        <w:t>The</w:t>
      </w:r>
      <w:r>
        <w:rPr>
          <w:color w:val="231F20"/>
          <w:spacing w:val="38"/>
        </w:rPr>
        <w:t> </w:t>
      </w:r>
      <w:r>
        <w:rPr>
          <w:color w:val="231F20"/>
        </w:rPr>
        <w:t>purpose</w:t>
      </w:r>
      <w:r>
        <w:rPr>
          <w:color w:val="231F20"/>
          <w:spacing w:val="38"/>
        </w:rPr>
        <w:t> </w:t>
      </w:r>
      <w:r>
        <w:rPr>
          <w:color w:val="231F20"/>
        </w:rPr>
        <w:t>of</w:t>
      </w:r>
      <w:r>
        <w:rPr>
          <w:color w:val="231F20"/>
          <w:spacing w:val="38"/>
        </w:rPr>
        <w:t> </w:t>
      </w:r>
      <w:r>
        <w:rPr>
          <w:color w:val="231F20"/>
        </w:rPr>
        <w:t>this</w:t>
      </w:r>
      <w:r>
        <w:rPr>
          <w:color w:val="231F20"/>
          <w:spacing w:val="38"/>
        </w:rPr>
        <w:t> </w:t>
      </w:r>
      <w:r>
        <w:rPr>
          <w:color w:val="231F20"/>
        </w:rPr>
        <w:t>circular</w:t>
      </w:r>
      <w:r>
        <w:rPr>
          <w:color w:val="231F20"/>
          <w:spacing w:val="38"/>
        </w:rPr>
        <w:t> </w:t>
      </w:r>
      <w:r>
        <w:rPr>
          <w:color w:val="231F20"/>
        </w:rPr>
        <w:t>is</w:t>
      </w:r>
      <w:r>
        <w:rPr>
          <w:color w:val="231F20"/>
          <w:spacing w:val="38"/>
        </w:rPr>
        <w:t> </w:t>
      </w:r>
      <w:r>
        <w:rPr>
          <w:color w:val="231F20"/>
        </w:rPr>
        <w:t>to</w:t>
      </w:r>
      <w:r>
        <w:rPr>
          <w:color w:val="231F20"/>
          <w:spacing w:val="38"/>
        </w:rPr>
        <w:t> </w:t>
      </w:r>
      <w:r>
        <w:rPr>
          <w:color w:val="231F20"/>
        </w:rPr>
        <w:t>provide</w:t>
      </w:r>
      <w:r>
        <w:rPr>
          <w:color w:val="231F20"/>
          <w:spacing w:val="38"/>
        </w:rPr>
        <w:t> </w:t>
      </w:r>
      <w:r>
        <w:rPr>
          <w:color w:val="231F20"/>
        </w:rPr>
        <w:t>you</w:t>
      </w:r>
      <w:r>
        <w:rPr>
          <w:color w:val="231F20"/>
          <w:spacing w:val="38"/>
        </w:rPr>
        <w:t> </w:t>
      </w:r>
      <w:r>
        <w:rPr>
          <w:color w:val="231F20"/>
        </w:rPr>
        <w:t>with</w:t>
      </w:r>
      <w:r>
        <w:rPr>
          <w:color w:val="231F20"/>
          <w:spacing w:val="38"/>
        </w:rPr>
        <w:t> </w:t>
      </w:r>
      <w:r>
        <w:rPr>
          <w:color w:val="231F20"/>
        </w:rPr>
        <w:t>detailed</w:t>
      </w:r>
      <w:r>
        <w:rPr>
          <w:color w:val="231F20"/>
          <w:spacing w:val="38"/>
        </w:rPr>
        <w:t> </w:t>
      </w:r>
      <w:r>
        <w:rPr>
          <w:color w:val="231F20"/>
        </w:rPr>
        <w:t>information</w:t>
      </w:r>
      <w:r>
        <w:rPr>
          <w:color w:val="231F20"/>
          <w:spacing w:val="38"/>
        </w:rPr>
        <w:t> </w:t>
      </w:r>
      <w:r>
        <w:rPr>
          <w:color w:val="231F20"/>
        </w:rPr>
        <w:t>regarding</w:t>
      </w:r>
      <w:r>
        <w:rPr>
          <w:color w:val="231F20"/>
          <w:spacing w:val="38"/>
        </w:rPr>
        <w:t> </w:t>
      </w:r>
      <w:r>
        <w:rPr>
          <w:color w:val="231F20"/>
        </w:rPr>
        <w:t>the</w:t>
      </w:r>
      <w:r>
        <w:rPr>
          <w:color w:val="231F20"/>
          <w:spacing w:val="38"/>
        </w:rPr>
        <w:t> </w:t>
      </w:r>
      <w:r>
        <w:rPr>
          <w:color w:val="231F20"/>
        </w:rPr>
        <w:t>notice</w:t>
      </w:r>
      <w:r>
        <w:rPr>
          <w:color w:val="231F20"/>
          <w:spacing w:val="38"/>
        </w:rPr>
        <w:t> </w:t>
      </w:r>
      <w:r>
        <w:rPr>
          <w:color w:val="231F20"/>
        </w:rPr>
        <w:t>of</w:t>
      </w:r>
      <w:r>
        <w:rPr>
          <w:color w:val="231F20"/>
          <w:spacing w:val="38"/>
        </w:rPr>
        <w:t> </w:t>
      </w:r>
      <w:r>
        <w:rPr>
          <w:color w:val="231F20"/>
        </w:rPr>
        <w:t>the 2025</w:t>
      </w:r>
      <w:r>
        <w:rPr>
          <w:color w:val="231F20"/>
          <w:spacing w:val="17"/>
        </w:rPr>
        <w:t> </w:t>
      </w:r>
      <w:r>
        <w:rPr>
          <w:color w:val="231F20"/>
        </w:rPr>
        <w:t>Second</w:t>
      </w:r>
      <w:r>
        <w:rPr>
          <w:color w:val="231F20"/>
          <w:spacing w:val="17"/>
        </w:rPr>
        <w:t> </w:t>
      </w:r>
      <w:r>
        <w:rPr>
          <w:color w:val="231F20"/>
        </w:rPr>
        <w:t>EGM</w:t>
      </w:r>
      <w:r>
        <w:rPr>
          <w:color w:val="231F20"/>
          <w:spacing w:val="17"/>
        </w:rPr>
        <w:t> </w:t>
      </w:r>
      <w:r>
        <w:rPr>
          <w:color w:val="231F20"/>
        </w:rPr>
        <w:t>and</w:t>
      </w:r>
      <w:r>
        <w:rPr>
          <w:color w:val="231F20"/>
          <w:spacing w:val="17"/>
        </w:rPr>
        <w:t> </w:t>
      </w:r>
      <w:r>
        <w:rPr>
          <w:color w:val="231F20"/>
        </w:rPr>
        <w:t>the</w:t>
      </w:r>
      <w:r>
        <w:rPr>
          <w:color w:val="231F20"/>
          <w:spacing w:val="17"/>
        </w:rPr>
        <w:t> </w:t>
      </w:r>
      <w:r>
        <w:rPr>
          <w:color w:val="231F20"/>
        </w:rPr>
        <w:t>relevant</w:t>
      </w:r>
      <w:r>
        <w:rPr>
          <w:color w:val="231F20"/>
          <w:spacing w:val="17"/>
        </w:rPr>
        <w:t> </w:t>
      </w:r>
      <w:r>
        <w:rPr>
          <w:color w:val="231F20"/>
        </w:rPr>
        <w:t>resolutions</w:t>
      </w:r>
      <w:r>
        <w:rPr>
          <w:color w:val="231F20"/>
          <w:spacing w:val="17"/>
        </w:rPr>
        <w:t> </w:t>
      </w:r>
      <w:r>
        <w:rPr>
          <w:color w:val="231F20"/>
        </w:rPr>
        <w:t>to</w:t>
      </w:r>
      <w:r>
        <w:rPr>
          <w:color w:val="231F20"/>
          <w:spacing w:val="17"/>
        </w:rPr>
        <w:t> </w:t>
      </w:r>
      <w:r>
        <w:rPr>
          <w:color w:val="231F20"/>
        </w:rPr>
        <w:t>be</w:t>
      </w:r>
      <w:r>
        <w:rPr>
          <w:color w:val="231F20"/>
          <w:spacing w:val="17"/>
        </w:rPr>
        <w:t> </w:t>
      </w:r>
      <w:r>
        <w:rPr>
          <w:color w:val="231F20"/>
        </w:rPr>
        <w:t>proposed</w:t>
      </w:r>
      <w:r>
        <w:rPr>
          <w:color w:val="231F20"/>
          <w:spacing w:val="17"/>
        </w:rPr>
        <w:t> </w:t>
      </w:r>
      <w:r>
        <w:rPr>
          <w:color w:val="231F20"/>
        </w:rPr>
        <w:t>at</w:t>
      </w:r>
      <w:r>
        <w:rPr>
          <w:color w:val="231F20"/>
          <w:spacing w:val="17"/>
        </w:rPr>
        <w:t> </w:t>
      </w:r>
      <w:r>
        <w:rPr>
          <w:color w:val="231F20"/>
        </w:rPr>
        <w:t>the</w:t>
      </w:r>
      <w:r>
        <w:rPr>
          <w:color w:val="231F20"/>
          <w:spacing w:val="17"/>
        </w:rPr>
        <w:t> </w:t>
      </w:r>
      <w:r>
        <w:rPr>
          <w:color w:val="231F20"/>
        </w:rPr>
        <w:t>2025</w:t>
      </w:r>
      <w:r>
        <w:rPr>
          <w:color w:val="231F20"/>
          <w:spacing w:val="17"/>
        </w:rPr>
        <w:t> </w:t>
      </w:r>
      <w:r>
        <w:rPr>
          <w:color w:val="231F20"/>
        </w:rPr>
        <w:t>Second</w:t>
      </w:r>
      <w:r>
        <w:rPr>
          <w:color w:val="231F20"/>
          <w:spacing w:val="17"/>
        </w:rPr>
        <w:t> </w:t>
      </w:r>
      <w:r>
        <w:rPr>
          <w:color w:val="231F20"/>
        </w:rPr>
        <w:t>EGM,</w:t>
      </w:r>
      <w:r>
        <w:rPr>
          <w:color w:val="231F20"/>
          <w:spacing w:val="17"/>
        </w:rPr>
        <w:t> </w:t>
      </w:r>
      <w:r>
        <w:rPr>
          <w:color w:val="231F20"/>
        </w:rPr>
        <w:t>so</w:t>
      </w:r>
      <w:r>
        <w:rPr>
          <w:color w:val="231F20"/>
          <w:spacing w:val="17"/>
        </w:rPr>
        <w:t> </w:t>
      </w:r>
      <w:r>
        <w:rPr>
          <w:color w:val="231F20"/>
        </w:rPr>
        <w:t>as</w:t>
      </w:r>
      <w:r>
        <w:rPr>
          <w:color w:val="231F20"/>
          <w:spacing w:val="17"/>
        </w:rPr>
        <w:t> </w:t>
      </w:r>
      <w:r>
        <w:rPr>
          <w:color w:val="231F20"/>
        </w:rPr>
        <w:t>to</w:t>
      </w:r>
      <w:r>
        <w:rPr>
          <w:color w:val="231F20"/>
          <w:spacing w:val="17"/>
        </w:rPr>
        <w:t> </w:t>
      </w:r>
      <w:r>
        <w:rPr>
          <w:color w:val="231F20"/>
        </w:rPr>
        <w:t>enable</w:t>
      </w:r>
      <w:r>
        <w:rPr>
          <w:color w:val="231F20"/>
          <w:spacing w:val="17"/>
        </w:rPr>
        <w:t> </w:t>
      </w:r>
      <w:r>
        <w:rPr>
          <w:color w:val="231F20"/>
        </w:rPr>
        <w:t>you to</w:t>
      </w:r>
      <w:r>
        <w:rPr>
          <w:color w:val="231F20"/>
          <w:spacing w:val="36"/>
        </w:rPr>
        <w:t> </w:t>
      </w:r>
      <w:r>
        <w:rPr>
          <w:color w:val="231F20"/>
        </w:rPr>
        <w:t>make</w:t>
      </w:r>
      <w:r>
        <w:rPr>
          <w:color w:val="231F20"/>
          <w:spacing w:val="36"/>
        </w:rPr>
        <w:t> </w:t>
      </w:r>
      <w:r>
        <w:rPr>
          <w:color w:val="231F20"/>
        </w:rPr>
        <w:t>an</w:t>
      </w:r>
      <w:r>
        <w:rPr>
          <w:color w:val="231F20"/>
          <w:spacing w:val="36"/>
        </w:rPr>
        <w:t> </w:t>
      </w:r>
      <w:r>
        <w:rPr>
          <w:color w:val="231F20"/>
        </w:rPr>
        <w:t>informed</w:t>
      </w:r>
      <w:r>
        <w:rPr>
          <w:color w:val="231F20"/>
          <w:spacing w:val="36"/>
        </w:rPr>
        <w:t> </w:t>
      </w:r>
      <w:r>
        <w:rPr>
          <w:color w:val="231F20"/>
        </w:rPr>
        <w:t>decision</w:t>
      </w:r>
      <w:r>
        <w:rPr>
          <w:color w:val="231F20"/>
          <w:spacing w:val="36"/>
        </w:rPr>
        <w:t> </w:t>
      </w:r>
      <w:r>
        <w:rPr>
          <w:color w:val="231F20"/>
        </w:rPr>
        <w:t>on</w:t>
      </w:r>
      <w:r>
        <w:rPr>
          <w:color w:val="231F20"/>
          <w:spacing w:val="36"/>
        </w:rPr>
        <w:t> </w:t>
      </w:r>
      <w:r>
        <w:rPr>
          <w:color w:val="231F20"/>
        </w:rPr>
        <w:t>whether</w:t>
      </w:r>
      <w:r>
        <w:rPr>
          <w:color w:val="231F20"/>
          <w:spacing w:val="36"/>
        </w:rPr>
        <w:t> </w:t>
      </w:r>
      <w:r>
        <w:rPr>
          <w:color w:val="231F20"/>
        </w:rPr>
        <w:t>to</w:t>
      </w:r>
      <w:r>
        <w:rPr>
          <w:color w:val="231F20"/>
          <w:spacing w:val="36"/>
        </w:rPr>
        <w:t> </w:t>
      </w:r>
      <w:r>
        <w:rPr>
          <w:color w:val="231F20"/>
        </w:rPr>
        <w:t>vote</w:t>
      </w:r>
      <w:r>
        <w:rPr>
          <w:color w:val="231F20"/>
          <w:spacing w:val="36"/>
        </w:rPr>
        <w:t> </w:t>
      </w:r>
      <w:r>
        <w:rPr>
          <w:color w:val="231F20"/>
        </w:rPr>
        <w:t>for</w:t>
      </w:r>
      <w:r>
        <w:rPr>
          <w:color w:val="231F20"/>
          <w:spacing w:val="36"/>
        </w:rPr>
        <w:t> </w:t>
      </w:r>
      <w:r>
        <w:rPr>
          <w:color w:val="231F20"/>
        </w:rPr>
        <w:t>or</w:t>
      </w:r>
      <w:r>
        <w:rPr>
          <w:color w:val="231F20"/>
          <w:spacing w:val="36"/>
        </w:rPr>
        <w:t> </w:t>
      </w:r>
      <w:r>
        <w:rPr>
          <w:color w:val="231F20"/>
        </w:rPr>
        <w:t>against</w:t>
      </w:r>
      <w:r>
        <w:rPr>
          <w:color w:val="231F20"/>
          <w:spacing w:val="36"/>
        </w:rPr>
        <w:t> </w:t>
      </w:r>
      <w:r>
        <w:rPr>
          <w:color w:val="231F20"/>
        </w:rPr>
        <w:t>the</w:t>
      </w:r>
      <w:r>
        <w:rPr>
          <w:color w:val="231F20"/>
          <w:spacing w:val="36"/>
        </w:rPr>
        <w:t> </w:t>
      </w:r>
      <w:r>
        <w:rPr>
          <w:color w:val="231F20"/>
        </w:rPr>
        <w:t>resolutions</w:t>
      </w:r>
      <w:r>
        <w:rPr>
          <w:color w:val="231F20"/>
          <w:spacing w:val="36"/>
        </w:rPr>
        <w:t> </w:t>
      </w:r>
      <w:r>
        <w:rPr>
          <w:color w:val="231F20"/>
        </w:rPr>
        <w:t>at</w:t>
      </w:r>
      <w:r>
        <w:rPr>
          <w:color w:val="231F20"/>
          <w:spacing w:val="36"/>
        </w:rPr>
        <w:t> </w:t>
      </w:r>
      <w:r>
        <w:rPr>
          <w:color w:val="231F20"/>
        </w:rPr>
        <w:t>the</w:t>
      </w:r>
      <w:r>
        <w:rPr>
          <w:color w:val="231F20"/>
          <w:spacing w:val="36"/>
        </w:rPr>
        <w:t> </w:t>
      </w:r>
      <w:r>
        <w:rPr>
          <w:color w:val="231F20"/>
        </w:rPr>
        <w:t>2025</w:t>
      </w:r>
      <w:r>
        <w:rPr>
          <w:color w:val="231F20"/>
          <w:spacing w:val="36"/>
        </w:rPr>
        <w:t> </w:t>
      </w:r>
      <w:r>
        <w:rPr>
          <w:color w:val="231F20"/>
        </w:rPr>
        <w:t>Second</w:t>
      </w:r>
      <w:r>
        <w:rPr>
          <w:color w:val="231F20"/>
          <w:spacing w:val="36"/>
        </w:rPr>
        <w:t> </w:t>
      </w:r>
      <w:r>
        <w:rPr>
          <w:color w:val="231F20"/>
        </w:rPr>
        <w:t>EGM. For</w:t>
      </w:r>
      <w:r>
        <w:rPr>
          <w:color w:val="231F20"/>
          <w:spacing w:val="29"/>
        </w:rPr>
        <w:t> </w:t>
      </w:r>
      <w:r>
        <w:rPr>
          <w:color w:val="231F20"/>
        </w:rPr>
        <w:t>the</w:t>
      </w:r>
      <w:r>
        <w:rPr>
          <w:color w:val="231F20"/>
          <w:spacing w:val="29"/>
        </w:rPr>
        <w:t> </w:t>
      </w:r>
      <w:r>
        <w:rPr>
          <w:color w:val="231F20"/>
        </w:rPr>
        <w:t>details</w:t>
      </w:r>
      <w:r>
        <w:rPr>
          <w:color w:val="231F20"/>
          <w:spacing w:val="29"/>
        </w:rPr>
        <w:t> </w:t>
      </w:r>
      <w:r>
        <w:rPr>
          <w:color w:val="231F20"/>
        </w:rPr>
        <w:t>of</w:t>
      </w:r>
      <w:r>
        <w:rPr>
          <w:color w:val="231F20"/>
          <w:spacing w:val="29"/>
        </w:rPr>
        <w:t> </w:t>
      </w:r>
      <w:r>
        <w:rPr>
          <w:color w:val="231F20"/>
        </w:rPr>
        <w:t>the</w:t>
      </w:r>
      <w:r>
        <w:rPr>
          <w:color w:val="231F20"/>
          <w:spacing w:val="29"/>
        </w:rPr>
        <w:t> </w:t>
      </w:r>
      <w:r>
        <w:rPr>
          <w:color w:val="231F20"/>
        </w:rPr>
        <w:t>resolutions</w:t>
      </w:r>
      <w:r>
        <w:rPr>
          <w:color w:val="231F20"/>
          <w:spacing w:val="29"/>
        </w:rPr>
        <w:t> </w:t>
      </w:r>
      <w:r>
        <w:rPr>
          <w:color w:val="231F20"/>
        </w:rPr>
        <w:t>to</w:t>
      </w:r>
      <w:r>
        <w:rPr>
          <w:color w:val="231F20"/>
          <w:spacing w:val="29"/>
        </w:rPr>
        <w:t> </w:t>
      </w:r>
      <w:r>
        <w:rPr>
          <w:color w:val="231F20"/>
        </w:rPr>
        <w:t>be</w:t>
      </w:r>
      <w:r>
        <w:rPr>
          <w:color w:val="231F20"/>
          <w:spacing w:val="29"/>
        </w:rPr>
        <w:t> </w:t>
      </w:r>
      <w:r>
        <w:rPr>
          <w:color w:val="231F20"/>
        </w:rPr>
        <w:t>proposed</w:t>
      </w:r>
      <w:r>
        <w:rPr>
          <w:color w:val="231F20"/>
          <w:spacing w:val="29"/>
        </w:rPr>
        <w:t> </w:t>
      </w:r>
      <w:r>
        <w:rPr>
          <w:color w:val="231F20"/>
        </w:rPr>
        <w:t>at</w:t>
      </w:r>
      <w:r>
        <w:rPr>
          <w:color w:val="231F20"/>
          <w:spacing w:val="29"/>
        </w:rPr>
        <w:t> </w:t>
      </w:r>
      <w:r>
        <w:rPr>
          <w:color w:val="231F20"/>
        </w:rPr>
        <w:t>the</w:t>
      </w:r>
      <w:r>
        <w:rPr>
          <w:color w:val="231F20"/>
          <w:spacing w:val="29"/>
        </w:rPr>
        <w:t> </w:t>
      </w:r>
      <w:r>
        <w:rPr>
          <w:color w:val="231F20"/>
        </w:rPr>
        <w:t>2025</w:t>
      </w:r>
      <w:r>
        <w:rPr>
          <w:color w:val="231F20"/>
          <w:spacing w:val="29"/>
        </w:rPr>
        <w:t> </w:t>
      </w:r>
      <w:r>
        <w:rPr>
          <w:color w:val="231F20"/>
        </w:rPr>
        <w:t>Second</w:t>
      </w:r>
      <w:r>
        <w:rPr>
          <w:color w:val="231F20"/>
          <w:spacing w:val="29"/>
        </w:rPr>
        <w:t> </w:t>
      </w:r>
      <w:r>
        <w:rPr>
          <w:color w:val="231F20"/>
        </w:rPr>
        <w:t>EGM,</w:t>
      </w:r>
      <w:r>
        <w:rPr>
          <w:color w:val="231F20"/>
          <w:spacing w:val="29"/>
        </w:rPr>
        <w:t> </w:t>
      </w:r>
      <w:r>
        <w:rPr>
          <w:color w:val="231F20"/>
        </w:rPr>
        <w:t>please</w:t>
      </w:r>
      <w:r>
        <w:rPr>
          <w:color w:val="231F20"/>
          <w:spacing w:val="29"/>
        </w:rPr>
        <w:t> </w:t>
      </w:r>
      <w:r>
        <w:rPr>
          <w:color w:val="231F20"/>
        </w:rPr>
        <w:t>refer</w:t>
      </w:r>
      <w:r>
        <w:rPr>
          <w:color w:val="231F20"/>
          <w:spacing w:val="29"/>
        </w:rPr>
        <w:t> </w:t>
      </w:r>
      <w:r>
        <w:rPr>
          <w:color w:val="231F20"/>
        </w:rPr>
        <w:t>to</w:t>
      </w:r>
      <w:r>
        <w:rPr>
          <w:color w:val="231F20"/>
          <w:spacing w:val="29"/>
        </w:rPr>
        <w:t> </w:t>
      </w:r>
      <w:r>
        <w:rPr>
          <w:color w:val="231F20"/>
        </w:rPr>
        <w:t>the</w:t>
      </w:r>
      <w:r>
        <w:rPr>
          <w:color w:val="231F20"/>
          <w:spacing w:val="29"/>
        </w:rPr>
        <w:t> </w:t>
      </w:r>
      <w:r>
        <w:rPr>
          <w:color w:val="231F20"/>
        </w:rPr>
        <w:t>notice</w:t>
      </w:r>
      <w:r>
        <w:rPr>
          <w:color w:val="231F20"/>
          <w:spacing w:val="29"/>
        </w:rPr>
        <w:t> </w:t>
      </w:r>
      <w:r>
        <w:rPr>
          <w:color w:val="231F20"/>
        </w:rPr>
        <w:t>of</w:t>
      </w:r>
      <w:r>
        <w:rPr>
          <w:color w:val="231F20"/>
          <w:spacing w:val="29"/>
        </w:rPr>
        <w:t> </w:t>
      </w:r>
      <w:r>
        <w:rPr>
          <w:color w:val="231F20"/>
        </w:rPr>
        <w:t>the 2025</w:t>
      </w:r>
      <w:r>
        <w:rPr>
          <w:color w:val="231F20"/>
          <w:spacing w:val="40"/>
        </w:rPr>
        <w:t> </w:t>
      </w:r>
      <w:r>
        <w:rPr>
          <w:color w:val="231F20"/>
        </w:rPr>
        <w:t>Second</w:t>
      </w:r>
      <w:r>
        <w:rPr>
          <w:color w:val="231F20"/>
          <w:spacing w:val="40"/>
        </w:rPr>
        <w:t> </w:t>
      </w:r>
      <w:r>
        <w:rPr>
          <w:color w:val="231F20"/>
        </w:rPr>
        <w:t>EGM</w:t>
      </w:r>
      <w:r>
        <w:rPr>
          <w:color w:val="231F20"/>
          <w:spacing w:val="40"/>
        </w:rPr>
        <w:t> </w:t>
      </w:r>
      <w:r>
        <w:rPr>
          <w:color w:val="231F20"/>
        </w:rPr>
        <w:t>enclosed</w:t>
      </w:r>
      <w:r>
        <w:rPr>
          <w:color w:val="231F20"/>
          <w:spacing w:val="40"/>
        </w:rPr>
        <w:t> </w:t>
      </w:r>
      <w:r>
        <w:rPr>
          <w:color w:val="231F20"/>
        </w:rPr>
        <w:t>with</w:t>
      </w:r>
      <w:r>
        <w:rPr>
          <w:color w:val="231F20"/>
          <w:spacing w:val="40"/>
        </w:rPr>
        <w:t> </w:t>
      </w:r>
      <w:r>
        <w:rPr>
          <w:color w:val="231F20"/>
        </w:rPr>
        <w:t>this</w:t>
      </w:r>
      <w:r>
        <w:rPr>
          <w:color w:val="231F20"/>
          <w:spacing w:val="40"/>
        </w:rPr>
        <w:t> </w:t>
      </w:r>
      <w:r>
        <w:rPr>
          <w:color w:val="231F20"/>
        </w:rPr>
        <w:t>circular.</w:t>
      </w:r>
    </w:p>
    <w:p>
      <w:pPr>
        <w:pStyle w:val="BodyText"/>
        <w:spacing w:after="0" w:line="292" w:lineRule="auto"/>
        <w:jc w:val="both"/>
        <w:sectPr>
          <w:type w:val="continuous"/>
          <w:pgSz w:w="11910" w:h="15880"/>
          <w:pgMar w:header="567" w:footer="573" w:top="1300" w:bottom="280" w:left="1275" w:right="1275"/>
        </w:sectPr>
      </w:pPr>
    </w:p>
    <w:p>
      <w:pPr>
        <w:pStyle w:val="Heading3"/>
        <w:numPr>
          <w:ilvl w:val="0"/>
          <w:numId w:val="3"/>
        </w:numPr>
        <w:tabs>
          <w:tab w:pos="708" w:val="left" w:leader="none"/>
        </w:tabs>
        <w:spacing w:line="240" w:lineRule="auto" w:before="91" w:after="0"/>
        <w:ind w:left="708" w:right="0" w:hanging="566"/>
        <w:jc w:val="both"/>
      </w:pPr>
      <w:r>
        <w:rPr>
          <w:color w:val="231F20"/>
        </w:rPr>
        <w:t>BUSINESS</w:t>
      </w:r>
      <w:r>
        <w:rPr>
          <w:color w:val="231F20"/>
          <w:spacing w:val="23"/>
        </w:rPr>
        <w:t> </w:t>
      </w:r>
      <w:r>
        <w:rPr>
          <w:color w:val="231F20"/>
        </w:rPr>
        <w:t>TO</w:t>
      </w:r>
      <w:r>
        <w:rPr>
          <w:color w:val="231F20"/>
          <w:spacing w:val="24"/>
        </w:rPr>
        <w:t> </w:t>
      </w:r>
      <w:r>
        <w:rPr>
          <w:color w:val="231F20"/>
        </w:rPr>
        <w:t>BE</w:t>
      </w:r>
      <w:r>
        <w:rPr>
          <w:color w:val="231F20"/>
          <w:spacing w:val="24"/>
        </w:rPr>
        <w:t> </w:t>
      </w:r>
      <w:r>
        <w:rPr>
          <w:color w:val="231F20"/>
        </w:rPr>
        <w:t>TRANSACTED</w:t>
      </w:r>
      <w:r>
        <w:rPr>
          <w:color w:val="231F20"/>
          <w:spacing w:val="24"/>
        </w:rPr>
        <w:t> </w:t>
      </w:r>
      <w:r>
        <w:rPr>
          <w:color w:val="231F20"/>
        </w:rPr>
        <w:t>AT</w:t>
      </w:r>
      <w:r>
        <w:rPr>
          <w:color w:val="231F20"/>
          <w:spacing w:val="24"/>
        </w:rPr>
        <w:t> </w:t>
      </w:r>
      <w:r>
        <w:rPr>
          <w:color w:val="231F20"/>
        </w:rPr>
        <w:t>THE</w:t>
      </w:r>
      <w:r>
        <w:rPr>
          <w:color w:val="231F20"/>
          <w:spacing w:val="23"/>
        </w:rPr>
        <w:t> </w:t>
      </w:r>
      <w:r>
        <w:rPr>
          <w:color w:val="231F20"/>
        </w:rPr>
        <w:t>2025</w:t>
      </w:r>
      <w:r>
        <w:rPr>
          <w:color w:val="231F20"/>
          <w:spacing w:val="24"/>
        </w:rPr>
        <w:t> </w:t>
      </w:r>
      <w:r>
        <w:rPr>
          <w:color w:val="231F20"/>
        </w:rPr>
        <w:t>SECOND</w:t>
      </w:r>
      <w:r>
        <w:rPr>
          <w:color w:val="231F20"/>
          <w:spacing w:val="24"/>
        </w:rPr>
        <w:t> </w:t>
      </w:r>
      <w:r>
        <w:rPr>
          <w:color w:val="231F20"/>
          <w:spacing w:val="-5"/>
        </w:rPr>
        <w:t>EGM</w:t>
      </w:r>
    </w:p>
    <w:p>
      <w:pPr>
        <w:pStyle w:val="BodyText"/>
        <w:spacing w:before="100"/>
        <w:rPr>
          <w:b/>
        </w:rPr>
      </w:pPr>
    </w:p>
    <w:p>
      <w:pPr>
        <w:pStyle w:val="BodyText"/>
        <w:spacing w:line="292" w:lineRule="auto"/>
        <w:ind w:left="142" w:right="136" w:firstLine="567"/>
        <w:jc w:val="both"/>
      </w:pPr>
      <w:r>
        <w:rPr>
          <w:color w:val="231F20"/>
        </w:rPr>
        <w:t>The business to be transacted at the 2025 Second EGM is set out in detail in the notice convening </w:t>
      </w:r>
      <w:r>
        <w:rPr>
          <w:color w:val="231F20"/>
        </w:rPr>
        <w:t>the</w:t>
      </w:r>
      <w:r>
        <w:rPr>
          <w:color w:val="231F20"/>
          <w:spacing w:val="40"/>
        </w:rPr>
        <w:t> </w:t>
      </w:r>
      <w:r>
        <w:rPr>
          <w:color w:val="231F20"/>
        </w:rPr>
        <w:t>2025</w:t>
      </w:r>
      <w:r>
        <w:rPr>
          <w:color w:val="231F20"/>
          <w:spacing w:val="38"/>
        </w:rPr>
        <w:t> </w:t>
      </w:r>
      <w:r>
        <w:rPr>
          <w:color w:val="231F20"/>
        </w:rPr>
        <w:t>Second</w:t>
      </w:r>
      <w:r>
        <w:rPr>
          <w:color w:val="231F20"/>
          <w:spacing w:val="38"/>
        </w:rPr>
        <w:t> </w:t>
      </w:r>
      <w:r>
        <w:rPr>
          <w:color w:val="231F20"/>
        </w:rPr>
        <w:t>EGM,</w:t>
      </w:r>
      <w:r>
        <w:rPr>
          <w:color w:val="231F20"/>
          <w:spacing w:val="38"/>
        </w:rPr>
        <w:t> </w:t>
      </w:r>
      <w:r>
        <w:rPr>
          <w:color w:val="231F20"/>
        </w:rPr>
        <w:t>which</w:t>
      </w:r>
      <w:r>
        <w:rPr>
          <w:color w:val="231F20"/>
          <w:spacing w:val="38"/>
        </w:rPr>
        <w:t> </w:t>
      </w:r>
      <w:r>
        <w:rPr>
          <w:color w:val="231F20"/>
        </w:rPr>
        <w:t>is</w:t>
      </w:r>
      <w:r>
        <w:rPr>
          <w:color w:val="231F20"/>
          <w:spacing w:val="38"/>
        </w:rPr>
        <w:t> </w:t>
      </w:r>
      <w:r>
        <w:rPr>
          <w:color w:val="231F20"/>
        </w:rPr>
        <w:t>set</w:t>
      </w:r>
      <w:r>
        <w:rPr>
          <w:color w:val="231F20"/>
          <w:spacing w:val="38"/>
        </w:rPr>
        <w:t> </w:t>
      </w:r>
      <w:r>
        <w:rPr>
          <w:color w:val="231F20"/>
        </w:rPr>
        <w:t>out</w:t>
      </w:r>
      <w:r>
        <w:rPr>
          <w:color w:val="231F20"/>
          <w:spacing w:val="38"/>
        </w:rPr>
        <w:t> </w:t>
      </w:r>
      <w:r>
        <w:rPr>
          <w:color w:val="231F20"/>
        </w:rPr>
        <w:t>on</w:t>
      </w:r>
      <w:r>
        <w:rPr>
          <w:color w:val="231F20"/>
          <w:spacing w:val="38"/>
        </w:rPr>
        <w:t> </w:t>
      </w:r>
      <w:r>
        <w:rPr>
          <w:color w:val="231F20"/>
        </w:rPr>
        <w:t>pages</w:t>
      </w:r>
      <w:r>
        <w:rPr>
          <w:color w:val="231F20"/>
          <w:spacing w:val="38"/>
        </w:rPr>
        <w:t> </w:t>
      </w:r>
      <w:r>
        <w:rPr>
          <w:color w:val="231F20"/>
        </w:rPr>
        <w:t>EGM-1</w:t>
      </w:r>
      <w:r>
        <w:rPr>
          <w:color w:val="231F20"/>
          <w:spacing w:val="38"/>
        </w:rPr>
        <w:t> </w:t>
      </w:r>
      <w:r>
        <w:rPr>
          <w:color w:val="231F20"/>
        </w:rPr>
        <w:t>to</w:t>
      </w:r>
      <w:r>
        <w:rPr>
          <w:color w:val="231F20"/>
          <w:spacing w:val="38"/>
        </w:rPr>
        <w:t> </w:t>
      </w:r>
      <w:r>
        <w:rPr>
          <w:color w:val="231F20"/>
        </w:rPr>
        <w:t>EGM-2</w:t>
      </w:r>
      <w:r>
        <w:rPr>
          <w:color w:val="231F20"/>
          <w:spacing w:val="38"/>
        </w:rPr>
        <w:t> </w:t>
      </w:r>
      <w:r>
        <w:rPr>
          <w:color w:val="231F20"/>
        </w:rPr>
        <w:t>of</w:t>
      </w:r>
      <w:r>
        <w:rPr>
          <w:color w:val="231F20"/>
          <w:spacing w:val="38"/>
        </w:rPr>
        <w:t> </w:t>
      </w:r>
      <w:r>
        <w:rPr>
          <w:color w:val="231F20"/>
        </w:rPr>
        <w:t>this</w:t>
      </w:r>
      <w:r>
        <w:rPr>
          <w:color w:val="231F20"/>
          <w:spacing w:val="38"/>
        </w:rPr>
        <w:t> </w:t>
      </w:r>
      <w:r>
        <w:rPr>
          <w:color w:val="231F20"/>
        </w:rPr>
        <w:t>circular.</w:t>
      </w:r>
    </w:p>
    <w:p>
      <w:pPr>
        <w:pStyle w:val="BodyText"/>
        <w:spacing w:before="49"/>
      </w:pPr>
    </w:p>
    <w:p>
      <w:pPr>
        <w:pStyle w:val="BodyText"/>
        <w:ind w:left="709"/>
        <w:jc w:val="both"/>
      </w:pPr>
      <w:r>
        <w:rPr>
          <w:color w:val="231F20"/>
        </w:rPr>
        <w:t>The</w:t>
      </w:r>
      <w:r>
        <w:rPr>
          <w:color w:val="231F20"/>
          <w:spacing w:val="7"/>
        </w:rPr>
        <w:t> </w:t>
      </w:r>
      <w:r>
        <w:rPr>
          <w:color w:val="231F20"/>
        </w:rPr>
        <w:t>resolutions</w:t>
      </w:r>
      <w:r>
        <w:rPr>
          <w:color w:val="231F20"/>
          <w:spacing w:val="8"/>
        </w:rPr>
        <w:t> </w:t>
      </w:r>
      <w:r>
        <w:rPr>
          <w:color w:val="231F20"/>
        </w:rPr>
        <w:t>to</w:t>
      </w:r>
      <w:r>
        <w:rPr>
          <w:color w:val="231F20"/>
          <w:spacing w:val="8"/>
        </w:rPr>
        <w:t> </w:t>
      </w:r>
      <w:r>
        <w:rPr>
          <w:color w:val="231F20"/>
        </w:rPr>
        <w:t>be</w:t>
      </w:r>
      <w:r>
        <w:rPr>
          <w:color w:val="231F20"/>
          <w:spacing w:val="7"/>
        </w:rPr>
        <w:t> </w:t>
      </w:r>
      <w:r>
        <w:rPr>
          <w:color w:val="231F20"/>
        </w:rPr>
        <w:t>proposed</w:t>
      </w:r>
      <w:r>
        <w:rPr>
          <w:color w:val="231F20"/>
          <w:spacing w:val="8"/>
        </w:rPr>
        <w:t> </w:t>
      </w:r>
      <w:r>
        <w:rPr>
          <w:color w:val="231F20"/>
        </w:rPr>
        <w:t>at</w:t>
      </w:r>
      <w:r>
        <w:rPr>
          <w:color w:val="231F20"/>
          <w:spacing w:val="8"/>
        </w:rPr>
        <w:t> </w:t>
      </w:r>
      <w:r>
        <w:rPr>
          <w:color w:val="231F20"/>
        </w:rPr>
        <w:t>the</w:t>
      </w:r>
      <w:r>
        <w:rPr>
          <w:color w:val="231F20"/>
          <w:spacing w:val="7"/>
        </w:rPr>
        <w:t> </w:t>
      </w:r>
      <w:r>
        <w:rPr>
          <w:color w:val="231F20"/>
        </w:rPr>
        <w:t>2025</w:t>
      </w:r>
      <w:r>
        <w:rPr>
          <w:color w:val="231F20"/>
          <w:spacing w:val="8"/>
        </w:rPr>
        <w:t> </w:t>
      </w:r>
      <w:r>
        <w:rPr>
          <w:color w:val="231F20"/>
        </w:rPr>
        <w:t>Second</w:t>
      </w:r>
      <w:r>
        <w:rPr>
          <w:color w:val="231F20"/>
          <w:spacing w:val="8"/>
        </w:rPr>
        <w:t> </w:t>
      </w:r>
      <w:r>
        <w:rPr>
          <w:color w:val="231F20"/>
        </w:rPr>
        <w:t>EGM</w:t>
      </w:r>
      <w:r>
        <w:rPr>
          <w:color w:val="231F20"/>
          <w:spacing w:val="7"/>
        </w:rPr>
        <w:t> </w:t>
      </w:r>
      <w:r>
        <w:rPr>
          <w:color w:val="231F20"/>
        </w:rPr>
        <w:t>include</w:t>
      </w:r>
      <w:r>
        <w:rPr>
          <w:color w:val="231F20"/>
          <w:spacing w:val="8"/>
        </w:rPr>
        <w:t> </w:t>
      </w:r>
      <w:r>
        <w:rPr>
          <w:color w:val="231F20"/>
        </w:rPr>
        <w:t>passing</w:t>
      </w:r>
      <w:r>
        <w:rPr>
          <w:color w:val="231F20"/>
          <w:spacing w:val="8"/>
        </w:rPr>
        <w:t> </w:t>
      </w:r>
      <w:r>
        <w:rPr>
          <w:color w:val="231F20"/>
        </w:rPr>
        <w:t>by</w:t>
      </w:r>
      <w:r>
        <w:rPr>
          <w:color w:val="231F20"/>
          <w:spacing w:val="7"/>
        </w:rPr>
        <w:t> </w:t>
      </w:r>
      <w:r>
        <w:rPr>
          <w:color w:val="231F20"/>
        </w:rPr>
        <w:t>way</w:t>
      </w:r>
      <w:r>
        <w:rPr>
          <w:color w:val="231F20"/>
          <w:spacing w:val="8"/>
        </w:rPr>
        <w:t> </w:t>
      </w:r>
      <w:r>
        <w:rPr>
          <w:color w:val="231F20"/>
        </w:rPr>
        <w:t>of</w:t>
      </w:r>
      <w:r>
        <w:rPr>
          <w:color w:val="231F20"/>
          <w:spacing w:val="8"/>
        </w:rPr>
        <w:t> </w:t>
      </w:r>
      <w:r>
        <w:rPr>
          <w:color w:val="231F20"/>
        </w:rPr>
        <w:t>ordinary</w:t>
      </w:r>
      <w:r>
        <w:rPr>
          <w:color w:val="231F20"/>
          <w:spacing w:val="8"/>
        </w:rPr>
        <w:t> </w:t>
      </w:r>
      <w:r>
        <w:rPr>
          <w:color w:val="231F20"/>
          <w:spacing w:val="-2"/>
        </w:rPr>
        <w:t>resolution:</w:t>
      </w:r>
    </w:p>
    <w:p>
      <w:pPr>
        <w:pStyle w:val="BodyText"/>
        <w:spacing w:line="292" w:lineRule="auto" w:before="50"/>
        <w:ind w:left="142" w:right="127"/>
        <w:jc w:val="both"/>
      </w:pPr>
      <w:r>
        <w:rPr>
          <w:color w:val="231F20"/>
        </w:rPr>
        <w:t>(1) proposal for profit distribution for the first half of 2025; (2) proposal for adjustment to the estimated</w:t>
      </w:r>
      <w:r>
        <w:rPr>
          <w:color w:val="231F20"/>
          <w:spacing w:val="40"/>
        </w:rPr>
        <w:t> </w:t>
      </w:r>
      <w:r>
        <w:rPr>
          <w:color w:val="231F20"/>
        </w:rPr>
        <w:t>guarantee amount provided to subsidiaries; and (3) proposal for the adjustment to the limit for wealth management</w:t>
      </w:r>
      <w:r>
        <w:rPr>
          <w:color w:val="231F20"/>
          <w:spacing w:val="40"/>
        </w:rPr>
        <w:t> </w:t>
      </w:r>
      <w:r>
        <w:rPr>
          <w:color w:val="231F20"/>
        </w:rPr>
        <w:t>products</w:t>
      </w:r>
      <w:r>
        <w:rPr>
          <w:color w:val="231F20"/>
          <w:spacing w:val="40"/>
        </w:rPr>
        <w:t> </w:t>
      </w:r>
      <w:r>
        <w:rPr>
          <w:color w:val="231F20"/>
        </w:rPr>
        <w:t>using</w:t>
      </w:r>
      <w:r>
        <w:rPr>
          <w:color w:val="231F20"/>
          <w:spacing w:val="40"/>
        </w:rPr>
        <w:t> </w:t>
      </w:r>
      <w:r>
        <w:rPr>
          <w:color w:val="231F20"/>
        </w:rPr>
        <w:t>internal</w:t>
      </w:r>
      <w:r>
        <w:rPr>
          <w:color w:val="231F20"/>
          <w:spacing w:val="40"/>
        </w:rPr>
        <w:t> </w:t>
      </w:r>
      <w:r>
        <w:rPr>
          <w:color w:val="231F20"/>
        </w:rPr>
        <w:t>idle</w:t>
      </w:r>
      <w:r>
        <w:rPr>
          <w:color w:val="231F20"/>
          <w:spacing w:val="40"/>
        </w:rPr>
        <w:t> </w:t>
      </w:r>
      <w:r>
        <w:rPr>
          <w:color w:val="231F20"/>
        </w:rPr>
        <w:t>funds.</w:t>
      </w:r>
    </w:p>
    <w:p>
      <w:pPr>
        <w:pStyle w:val="BodyText"/>
        <w:spacing w:before="48"/>
      </w:pPr>
    </w:p>
    <w:p>
      <w:pPr>
        <w:pStyle w:val="BodyText"/>
        <w:ind w:left="709"/>
        <w:jc w:val="both"/>
      </w:pPr>
      <w:r>
        <w:rPr>
          <w:color w:val="231F20"/>
        </w:rPr>
        <w:t>Details</w:t>
      </w:r>
      <w:r>
        <w:rPr>
          <w:color w:val="231F20"/>
          <w:spacing w:val="25"/>
        </w:rPr>
        <w:t> </w:t>
      </w:r>
      <w:r>
        <w:rPr>
          <w:color w:val="231F20"/>
        </w:rPr>
        <w:t>of</w:t>
      </w:r>
      <w:r>
        <w:rPr>
          <w:color w:val="231F20"/>
          <w:spacing w:val="26"/>
        </w:rPr>
        <w:t> </w:t>
      </w:r>
      <w:r>
        <w:rPr>
          <w:color w:val="231F20"/>
        </w:rPr>
        <w:t>the</w:t>
      </w:r>
      <w:r>
        <w:rPr>
          <w:color w:val="231F20"/>
          <w:spacing w:val="26"/>
        </w:rPr>
        <w:t> </w:t>
      </w:r>
      <w:r>
        <w:rPr>
          <w:color w:val="231F20"/>
        </w:rPr>
        <w:t>above</w:t>
      </w:r>
      <w:r>
        <w:rPr>
          <w:color w:val="231F20"/>
          <w:spacing w:val="26"/>
        </w:rPr>
        <w:t> </w:t>
      </w:r>
      <w:r>
        <w:rPr>
          <w:color w:val="231F20"/>
        </w:rPr>
        <w:t>resolutions</w:t>
      </w:r>
      <w:r>
        <w:rPr>
          <w:color w:val="231F20"/>
          <w:spacing w:val="25"/>
        </w:rPr>
        <w:t> </w:t>
      </w:r>
      <w:r>
        <w:rPr>
          <w:color w:val="231F20"/>
        </w:rPr>
        <w:t>are</w:t>
      </w:r>
      <w:r>
        <w:rPr>
          <w:color w:val="231F20"/>
          <w:spacing w:val="26"/>
        </w:rPr>
        <w:t> </w:t>
      </w:r>
      <w:r>
        <w:rPr>
          <w:color w:val="231F20"/>
        </w:rPr>
        <w:t>set</w:t>
      </w:r>
      <w:r>
        <w:rPr>
          <w:color w:val="231F20"/>
          <w:spacing w:val="26"/>
        </w:rPr>
        <w:t> </w:t>
      </w:r>
      <w:r>
        <w:rPr>
          <w:color w:val="231F20"/>
        </w:rPr>
        <w:t>out</w:t>
      </w:r>
      <w:r>
        <w:rPr>
          <w:color w:val="231F20"/>
          <w:spacing w:val="26"/>
        </w:rPr>
        <w:t> </w:t>
      </w:r>
      <w:r>
        <w:rPr>
          <w:color w:val="231F20"/>
        </w:rPr>
        <w:t>in</w:t>
      </w:r>
      <w:r>
        <w:rPr>
          <w:color w:val="231F20"/>
          <w:spacing w:val="25"/>
        </w:rPr>
        <w:t> </w:t>
      </w:r>
      <w:r>
        <w:rPr>
          <w:color w:val="231F20"/>
        </w:rPr>
        <w:t>Appendix</w:t>
      </w:r>
      <w:r>
        <w:rPr>
          <w:color w:val="231F20"/>
          <w:spacing w:val="26"/>
        </w:rPr>
        <w:t> </w:t>
      </w:r>
      <w:r>
        <w:rPr>
          <w:color w:val="231F20"/>
        </w:rPr>
        <w:t>I</w:t>
      </w:r>
      <w:r>
        <w:rPr>
          <w:color w:val="231F20"/>
          <w:spacing w:val="26"/>
        </w:rPr>
        <w:t> </w:t>
      </w:r>
      <w:r>
        <w:rPr>
          <w:color w:val="231F20"/>
        </w:rPr>
        <w:t>to</w:t>
      </w:r>
      <w:r>
        <w:rPr>
          <w:color w:val="231F20"/>
          <w:spacing w:val="26"/>
        </w:rPr>
        <w:t> </w:t>
      </w:r>
      <w:r>
        <w:rPr>
          <w:color w:val="231F20"/>
        </w:rPr>
        <w:t>this</w:t>
      </w:r>
      <w:r>
        <w:rPr>
          <w:color w:val="231F20"/>
          <w:spacing w:val="26"/>
        </w:rPr>
        <w:t> </w:t>
      </w:r>
      <w:r>
        <w:rPr>
          <w:color w:val="231F20"/>
          <w:spacing w:val="-2"/>
        </w:rPr>
        <w:t>circular.</w:t>
      </w:r>
    </w:p>
    <w:p>
      <w:pPr>
        <w:pStyle w:val="BodyText"/>
        <w:spacing w:before="100"/>
      </w:pPr>
    </w:p>
    <w:p>
      <w:pPr>
        <w:pStyle w:val="Heading3"/>
        <w:numPr>
          <w:ilvl w:val="0"/>
          <w:numId w:val="3"/>
        </w:numPr>
        <w:tabs>
          <w:tab w:pos="708" w:val="left" w:leader="none"/>
        </w:tabs>
        <w:spacing w:line="240" w:lineRule="auto" w:before="0" w:after="0"/>
        <w:ind w:left="708" w:right="0" w:hanging="566"/>
        <w:jc w:val="both"/>
      </w:pPr>
      <w:r>
        <w:rPr>
          <w:color w:val="231F20"/>
        </w:rPr>
        <w:t>THE</w:t>
      </w:r>
      <w:r>
        <w:rPr>
          <w:color w:val="231F20"/>
          <w:spacing w:val="23"/>
        </w:rPr>
        <w:t> </w:t>
      </w:r>
      <w:r>
        <w:rPr>
          <w:color w:val="231F20"/>
        </w:rPr>
        <w:t>2025</w:t>
      </w:r>
      <w:r>
        <w:rPr>
          <w:color w:val="231F20"/>
          <w:spacing w:val="24"/>
        </w:rPr>
        <w:t> </w:t>
      </w:r>
      <w:r>
        <w:rPr>
          <w:color w:val="231F20"/>
        </w:rPr>
        <w:t>SECOND</w:t>
      </w:r>
      <w:r>
        <w:rPr>
          <w:color w:val="231F20"/>
          <w:spacing w:val="24"/>
        </w:rPr>
        <w:t> </w:t>
      </w:r>
      <w:r>
        <w:rPr>
          <w:color w:val="231F20"/>
          <w:spacing w:val="-5"/>
        </w:rPr>
        <w:t>EGM</w:t>
      </w:r>
    </w:p>
    <w:p>
      <w:pPr>
        <w:pStyle w:val="BodyText"/>
        <w:spacing w:before="100"/>
        <w:rPr>
          <w:b/>
        </w:rPr>
      </w:pPr>
    </w:p>
    <w:p>
      <w:pPr>
        <w:pStyle w:val="BodyText"/>
        <w:spacing w:line="292" w:lineRule="auto"/>
        <w:ind w:left="142" w:right="135" w:firstLine="567"/>
        <w:jc w:val="both"/>
      </w:pPr>
      <w:r>
        <w:rPr>
          <w:color w:val="231F20"/>
        </w:rPr>
        <w:t>The 2025 Second EGM will be held at 38th Floor, Yuzhou Plaza, No. 55, Hubin South Road, </w:t>
      </w:r>
      <w:r>
        <w:rPr>
          <w:color w:val="231F20"/>
        </w:rPr>
        <w:t>Siming District, Xiamen, the PRC at 2:30 p.m. on Monday, September 8, 2025. Notice convening the 2025 Second</w:t>
      </w:r>
      <w:r>
        <w:rPr>
          <w:color w:val="231F20"/>
          <w:spacing w:val="80"/>
        </w:rPr>
        <w:t> </w:t>
      </w:r>
      <w:r>
        <w:rPr>
          <w:color w:val="231F20"/>
        </w:rPr>
        <w:t>EGM</w:t>
      </w:r>
      <w:r>
        <w:rPr>
          <w:color w:val="231F20"/>
          <w:spacing w:val="40"/>
        </w:rPr>
        <w:t> </w:t>
      </w:r>
      <w:r>
        <w:rPr>
          <w:color w:val="231F20"/>
        </w:rPr>
        <w:t>is</w:t>
      </w:r>
      <w:r>
        <w:rPr>
          <w:color w:val="231F20"/>
          <w:spacing w:val="40"/>
        </w:rPr>
        <w:t> </w:t>
      </w:r>
      <w:r>
        <w:rPr>
          <w:color w:val="231F20"/>
        </w:rPr>
        <w:t>set</w:t>
      </w:r>
      <w:r>
        <w:rPr>
          <w:color w:val="231F20"/>
          <w:spacing w:val="40"/>
        </w:rPr>
        <w:t> </w:t>
      </w:r>
      <w:r>
        <w:rPr>
          <w:color w:val="231F20"/>
        </w:rPr>
        <w:t>out</w:t>
      </w:r>
      <w:r>
        <w:rPr>
          <w:color w:val="231F20"/>
          <w:spacing w:val="40"/>
        </w:rPr>
        <w:t> </w:t>
      </w:r>
      <w:r>
        <w:rPr>
          <w:color w:val="231F20"/>
        </w:rPr>
        <w:t>on</w:t>
      </w:r>
      <w:r>
        <w:rPr>
          <w:color w:val="231F20"/>
          <w:spacing w:val="40"/>
        </w:rPr>
        <w:t> </w:t>
      </w:r>
      <w:r>
        <w:rPr>
          <w:color w:val="231F20"/>
        </w:rPr>
        <w:t>pages</w:t>
      </w:r>
      <w:r>
        <w:rPr>
          <w:color w:val="231F20"/>
          <w:spacing w:val="40"/>
        </w:rPr>
        <w:t> </w:t>
      </w:r>
      <w:r>
        <w:rPr>
          <w:color w:val="231F20"/>
        </w:rPr>
        <w:t>EGM-1</w:t>
      </w:r>
      <w:r>
        <w:rPr>
          <w:color w:val="231F20"/>
          <w:spacing w:val="40"/>
        </w:rPr>
        <w:t> </w:t>
      </w:r>
      <w:r>
        <w:rPr>
          <w:color w:val="231F20"/>
        </w:rPr>
        <w:t>to</w:t>
      </w:r>
      <w:r>
        <w:rPr>
          <w:color w:val="231F20"/>
          <w:spacing w:val="40"/>
        </w:rPr>
        <w:t> </w:t>
      </w:r>
      <w:r>
        <w:rPr>
          <w:color w:val="231F20"/>
        </w:rPr>
        <w:t>EGM-2</w:t>
      </w:r>
      <w:r>
        <w:rPr>
          <w:color w:val="231F20"/>
          <w:spacing w:val="40"/>
        </w:rPr>
        <w:t> </w:t>
      </w:r>
      <w:r>
        <w:rPr>
          <w:color w:val="231F20"/>
        </w:rPr>
        <w:t>of</w:t>
      </w:r>
      <w:r>
        <w:rPr>
          <w:color w:val="231F20"/>
          <w:spacing w:val="40"/>
        </w:rPr>
        <w:t> </w:t>
      </w:r>
      <w:r>
        <w:rPr>
          <w:color w:val="231F20"/>
        </w:rPr>
        <w:t>this</w:t>
      </w:r>
      <w:r>
        <w:rPr>
          <w:color w:val="231F20"/>
          <w:spacing w:val="40"/>
        </w:rPr>
        <w:t> </w:t>
      </w:r>
      <w:r>
        <w:rPr>
          <w:color w:val="231F20"/>
        </w:rPr>
        <w:t>circular.</w:t>
      </w:r>
    </w:p>
    <w:p>
      <w:pPr>
        <w:pStyle w:val="BodyText"/>
        <w:spacing w:before="49"/>
      </w:pPr>
    </w:p>
    <w:p>
      <w:pPr>
        <w:pStyle w:val="BodyText"/>
        <w:spacing w:line="292" w:lineRule="auto"/>
        <w:ind w:left="142" w:right="133" w:firstLine="567"/>
        <w:jc w:val="both"/>
      </w:pPr>
      <w:r>
        <w:rPr>
          <w:color w:val="231F20"/>
        </w:rPr>
        <w:t>Proxy</w:t>
      </w:r>
      <w:r>
        <w:rPr>
          <w:color w:val="231F20"/>
          <w:spacing w:val="34"/>
        </w:rPr>
        <w:t> </w:t>
      </w:r>
      <w:r>
        <w:rPr>
          <w:color w:val="231F20"/>
        </w:rPr>
        <w:t>form</w:t>
      </w:r>
      <w:r>
        <w:rPr>
          <w:color w:val="231F20"/>
          <w:spacing w:val="35"/>
        </w:rPr>
        <w:t> </w:t>
      </w:r>
      <w:r>
        <w:rPr>
          <w:color w:val="231F20"/>
        </w:rPr>
        <w:t>for</w:t>
      </w:r>
      <w:r>
        <w:rPr>
          <w:color w:val="231F20"/>
          <w:spacing w:val="35"/>
        </w:rPr>
        <w:t> </w:t>
      </w:r>
      <w:r>
        <w:rPr>
          <w:color w:val="231F20"/>
        </w:rPr>
        <w:t>the</w:t>
      </w:r>
      <w:r>
        <w:rPr>
          <w:color w:val="231F20"/>
          <w:spacing w:val="35"/>
        </w:rPr>
        <w:t> </w:t>
      </w:r>
      <w:r>
        <w:rPr>
          <w:color w:val="231F20"/>
        </w:rPr>
        <w:t>2025</w:t>
      </w:r>
      <w:r>
        <w:rPr>
          <w:color w:val="231F20"/>
          <w:spacing w:val="35"/>
        </w:rPr>
        <w:t> </w:t>
      </w:r>
      <w:r>
        <w:rPr>
          <w:color w:val="231F20"/>
        </w:rPr>
        <w:t>Second</w:t>
      </w:r>
      <w:r>
        <w:rPr>
          <w:color w:val="231F20"/>
          <w:spacing w:val="35"/>
        </w:rPr>
        <w:t> </w:t>
      </w:r>
      <w:r>
        <w:rPr>
          <w:color w:val="231F20"/>
        </w:rPr>
        <w:t>EGM</w:t>
      </w:r>
      <w:r>
        <w:rPr>
          <w:color w:val="231F20"/>
          <w:spacing w:val="35"/>
        </w:rPr>
        <w:t> </w:t>
      </w:r>
      <w:r>
        <w:rPr>
          <w:color w:val="231F20"/>
        </w:rPr>
        <w:t>is</w:t>
      </w:r>
      <w:r>
        <w:rPr>
          <w:color w:val="231F20"/>
          <w:spacing w:val="35"/>
        </w:rPr>
        <w:t> </w:t>
      </w:r>
      <w:r>
        <w:rPr>
          <w:color w:val="231F20"/>
        </w:rPr>
        <w:t>enclosed</w:t>
      </w:r>
      <w:r>
        <w:rPr>
          <w:color w:val="231F20"/>
          <w:spacing w:val="35"/>
        </w:rPr>
        <w:t> </w:t>
      </w:r>
      <w:r>
        <w:rPr>
          <w:color w:val="231F20"/>
        </w:rPr>
        <w:t>in</w:t>
      </w:r>
      <w:r>
        <w:rPr>
          <w:color w:val="231F20"/>
          <w:spacing w:val="35"/>
        </w:rPr>
        <w:t> </w:t>
      </w:r>
      <w:r>
        <w:rPr>
          <w:color w:val="231F20"/>
        </w:rPr>
        <w:t>this</w:t>
      </w:r>
      <w:r>
        <w:rPr>
          <w:color w:val="231F20"/>
          <w:spacing w:val="35"/>
        </w:rPr>
        <w:t> </w:t>
      </w:r>
      <w:r>
        <w:rPr>
          <w:color w:val="231F20"/>
        </w:rPr>
        <w:t>circular</w:t>
      </w:r>
      <w:r>
        <w:rPr>
          <w:color w:val="231F20"/>
          <w:spacing w:val="35"/>
        </w:rPr>
        <w:t> </w:t>
      </w:r>
      <w:r>
        <w:rPr>
          <w:color w:val="231F20"/>
        </w:rPr>
        <w:t>and</w:t>
      </w:r>
      <w:r>
        <w:rPr>
          <w:color w:val="231F20"/>
          <w:spacing w:val="35"/>
        </w:rPr>
        <w:t> </w:t>
      </w:r>
      <w:r>
        <w:rPr>
          <w:color w:val="231F20"/>
        </w:rPr>
        <w:t>published</w:t>
      </w:r>
      <w:r>
        <w:rPr>
          <w:color w:val="231F20"/>
          <w:spacing w:val="35"/>
        </w:rPr>
        <w:t> </w:t>
      </w:r>
      <w:r>
        <w:rPr>
          <w:color w:val="231F20"/>
        </w:rPr>
        <w:t>on</w:t>
      </w:r>
      <w:r>
        <w:rPr>
          <w:color w:val="231F20"/>
          <w:spacing w:val="35"/>
        </w:rPr>
        <w:t> </w:t>
      </w:r>
      <w:r>
        <w:rPr>
          <w:color w:val="231F20"/>
        </w:rPr>
        <w:t>the</w:t>
      </w:r>
      <w:r>
        <w:rPr>
          <w:color w:val="231F20"/>
          <w:spacing w:val="35"/>
        </w:rPr>
        <w:t> </w:t>
      </w:r>
      <w:r>
        <w:rPr>
          <w:color w:val="231F20"/>
        </w:rPr>
        <w:t>websites</w:t>
      </w:r>
      <w:r>
        <w:rPr>
          <w:color w:val="231F20"/>
          <w:spacing w:val="35"/>
        </w:rPr>
        <w:t> </w:t>
      </w:r>
      <w:r>
        <w:rPr>
          <w:color w:val="231F20"/>
        </w:rPr>
        <w:t>of the Stock Exchange (</w:t>
      </w:r>
      <w:hyperlink r:id="rId6">
        <w:r>
          <w:rPr>
            <w:color w:val="231F20"/>
          </w:rPr>
          <w:t>www.hkexnews.hk)</w:t>
        </w:r>
      </w:hyperlink>
      <w:r>
        <w:rPr>
          <w:color w:val="231F20"/>
        </w:rPr>
        <w:t> and the Company (https://</w:t>
      </w:r>
      <w:hyperlink r:id="rId7">
        <w:r>
          <w:rPr>
            <w:color w:val="231F20"/>
          </w:rPr>
          <w:t>www.jihong.cn).</w:t>
        </w:r>
      </w:hyperlink>
      <w:r>
        <w:rPr>
          <w:color w:val="231F20"/>
        </w:rPr>
        <w:t> Shareholders who </w:t>
      </w:r>
      <w:r>
        <w:rPr>
          <w:color w:val="231F20"/>
        </w:rPr>
        <w:t>are eligible</w:t>
      </w:r>
      <w:r>
        <w:rPr>
          <w:color w:val="231F20"/>
          <w:spacing w:val="33"/>
        </w:rPr>
        <w:t> </w:t>
      </w:r>
      <w:r>
        <w:rPr>
          <w:color w:val="231F20"/>
        </w:rPr>
        <w:t>to</w:t>
      </w:r>
      <w:r>
        <w:rPr>
          <w:color w:val="231F20"/>
          <w:spacing w:val="33"/>
        </w:rPr>
        <w:t> </w:t>
      </w:r>
      <w:r>
        <w:rPr>
          <w:color w:val="231F20"/>
        </w:rPr>
        <w:t>attend</w:t>
      </w:r>
      <w:r>
        <w:rPr>
          <w:color w:val="231F20"/>
          <w:spacing w:val="33"/>
        </w:rPr>
        <w:t> </w:t>
      </w:r>
      <w:r>
        <w:rPr>
          <w:color w:val="231F20"/>
        </w:rPr>
        <w:t>and</w:t>
      </w:r>
      <w:r>
        <w:rPr>
          <w:color w:val="231F20"/>
          <w:spacing w:val="33"/>
        </w:rPr>
        <w:t> </w:t>
      </w:r>
      <w:r>
        <w:rPr>
          <w:color w:val="231F20"/>
        </w:rPr>
        <w:t>intend</w:t>
      </w:r>
      <w:r>
        <w:rPr>
          <w:color w:val="231F20"/>
          <w:spacing w:val="33"/>
        </w:rPr>
        <w:t> </w:t>
      </w:r>
      <w:r>
        <w:rPr>
          <w:color w:val="231F20"/>
        </w:rPr>
        <w:t>to</w:t>
      </w:r>
      <w:r>
        <w:rPr>
          <w:color w:val="231F20"/>
          <w:spacing w:val="33"/>
        </w:rPr>
        <w:t> </w:t>
      </w:r>
      <w:r>
        <w:rPr>
          <w:color w:val="231F20"/>
        </w:rPr>
        <w:t>appoint</w:t>
      </w:r>
      <w:r>
        <w:rPr>
          <w:color w:val="231F20"/>
          <w:spacing w:val="33"/>
        </w:rPr>
        <w:t> </w:t>
      </w:r>
      <w:r>
        <w:rPr>
          <w:color w:val="231F20"/>
        </w:rPr>
        <w:t>a</w:t>
      </w:r>
      <w:r>
        <w:rPr>
          <w:color w:val="231F20"/>
          <w:spacing w:val="33"/>
        </w:rPr>
        <w:t> </w:t>
      </w:r>
      <w:r>
        <w:rPr>
          <w:color w:val="231F20"/>
        </w:rPr>
        <w:t>proxy</w:t>
      </w:r>
      <w:r>
        <w:rPr>
          <w:color w:val="231F20"/>
          <w:spacing w:val="33"/>
        </w:rPr>
        <w:t> </w:t>
      </w:r>
      <w:r>
        <w:rPr>
          <w:color w:val="231F20"/>
        </w:rPr>
        <w:t>to</w:t>
      </w:r>
      <w:r>
        <w:rPr>
          <w:color w:val="231F20"/>
          <w:spacing w:val="33"/>
        </w:rPr>
        <w:t> </w:t>
      </w:r>
      <w:r>
        <w:rPr>
          <w:color w:val="231F20"/>
        </w:rPr>
        <w:t>attend</w:t>
      </w:r>
      <w:r>
        <w:rPr>
          <w:color w:val="231F20"/>
          <w:spacing w:val="33"/>
        </w:rPr>
        <w:t> </w:t>
      </w:r>
      <w:r>
        <w:rPr>
          <w:color w:val="231F20"/>
        </w:rPr>
        <w:t>the</w:t>
      </w:r>
      <w:r>
        <w:rPr>
          <w:color w:val="231F20"/>
          <w:spacing w:val="33"/>
        </w:rPr>
        <w:t> </w:t>
      </w:r>
      <w:r>
        <w:rPr>
          <w:color w:val="231F20"/>
        </w:rPr>
        <w:t>2025</w:t>
      </w:r>
      <w:r>
        <w:rPr>
          <w:color w:val="231F20"/>
          <w:spacing w:val="33"/>
        </w:rPr>
        <w:t> </w:t>
      </w:r>
      <w:r>
        <w:rPr>
          <w:color w:val="231F20"/>
        </w:rPr>
        <w:t>Second</w:t>
      </w:r>
      <w:r>
        <w:rPr>
          <w:color w:val="231F20"/>
          <w:spacing w:val="33"/>
        </w:rPr>
        <w:t> </w:t>
      </w:r>
      <w:r>
        <w:rPr>
          <w:color w:val="231F20"/>
        </w:rPr>
        <w:t>EGM</w:t>
      </w:r>
      <w:r>
        <w:rPr>
          <w:color w:val="231F20"/>
          <w:spacing w:val="33"/>
        </w:rPr>
        <w:t> </w:t>
      </w:r>
      <w:r>
        <w:rPr>
          <w:color w:val="231F20"/>
        </w:rPr>
        <w:t>shall</w:t>
      </w:r>
      <w:r>
        <w:rPr>
          <w:color w:val="231F20"/>
          <w:spacing w:val="33"/>
        </w:rPr>
        <w:t> </w:t>
      </w:r>
      <w:r>
        <w:rPr>
          <w:color w:val="231F20"/>
        </w:rPr>
        <w:t>complete</w:t>
      </w:r>
      <w:r>
        <w:rPr>
          <w:color w:val="231F20"/>
          <w:spacing w:val="33"/>
        </w:rPr>
        <w:t> </w:t>
      </w:r>
      <w:r>
        <w:rPr>
          <w:color w:val="231F20"/>
        </w:rPr>
        <w:t>and</w:t>
      </w:r>
      <w:r>
        <w:rPr>
          <w:color w:val="231F20"/>
          <w:spacing w:val="33"/>
        </w:rPr>
        <w:t> </w:t>
      </w:r>
      <w:r>
        <w:rPr>
          <w:color w:val="231F20"/>
        </w:rPr>
        <w:t>return the proxy form in accordance with the instructions printed thereon to the H share registrar of the Company, Computershare</w:t>
      </w:r>
      <w:r>
        <w:rPr>
          <w:color w:val="231F20"/>
          <w:spacing w:val="39"/>
        </w:rPr>
        <w:t> </w:t>
      </w:r>
      <w:r>
        <w:rPr>
          <w:color w:val="231F20"/>
        </w:rPr>
        <w:t>Hong</w:t>
      </w:r>
      <w:r>
        <w:rPr>
          <w:color w:val="231F20"/>
          <w:spacing w:val="39"/>
        </w:rPr>
        <w:t> </w:t>
      </w:r>
      <w:r>
        <w:rPr>
          <w:color w:val="231F20"/>
        </w:rPr>
        <w:t>Kong</w:t>
      </w:r>
      <w:r>
        <w:rPr>
          <w:color w:val="231F20"/>
          <w:spacing w:val="39"/>
        </w:rPr>
        <w:t> </w:t>
      </w:r>
      <w:r>
        <w:rPr>
          <w:color w:val="231F20"/>
        </w:rPr>
        <w:t>Investor</w:t>
      </w:r>
      <w:r>
        <w:rPr>
          <w:color w:val="231F20"/>
          <w:spacing w:val="39"/>
        </w:rPr>
        <w:t> </w:t>
      </w:r>
      <w:r>
        <w:rPr>
          <w:color w:val="231F20"/>
        </w:rPr>
        <w:t>Services</w:t>
      </w:r>
      <w:r>
        <w:rPr>
          <w:color w:val="231F20"/>
          <w:spacing w:val="39"/>
        </w:rPr>
        <w:t> </w:t>
      </w:r>
      <w:r>
        <w:rPr>
          <w:color w:val="231F20"/>
        </w:rPr>
        <w:t>Limited,</w:t>
      </w:r>
      <w:r>
        <w:rPr>
          <w:color w:val="231F20"/>
          <w:spacing w:val="39"/>
        </w:rPr>
        <w:t> </w:t>
      </w:r>
      <w:r>
        <w:rPr>
          <w:color w:val="231F20"/>
        </w:rPr>
        <w:t>at</w:t>
      </w:r>
      <w:r>
        <w:rPr>
          <w:color w:val="231F20"/>
          <w:spacing w:val="39"/>
        </w:rPr>
        <w:t> </w:t>
      </w:r>
      <w:r>
        <w:rPr>
          <w:color w:val="231F20"/>
        </w:rPr>
        <w:t>17M</w:t>
      </w:r>
      <w:r>
        <w:rPr>
          <w:color w:val="231F20"/>
          <w:spacing w:val="39"/>
        </w:rPr>
        <w:t> </w:t>
      </w:r>
      <w:r>
        <w:rPr>
          <w:color w:val="231F20"/>
        </w:rPr>
        <w:t>Floor,</w:t>
      </w:r>
      <w:r>
        <w:rPr>
          <w:color w:val="231F20"/>
          <w:spacing w:val="39"/>
        </w:rPr>
        <w:t> </w:t>
      </w:r>
      <w:r>
        <w:rPr>
          <w:color w:val="231F20"/>
        </w:rPr>
        <w:t>Hopewell</w:t>
      </w:r>
      <w:r>
        <w:rPr>
          <w:color w:val="231F20"/>
          <w:spacing w:val="39"/>
        </w:rPr>
        <w:t> </w:t>
      </w:r>
      <w:r>
        <w:rPr>
          <w:color w:val="231F20"/>
        </w:rPr>
        <w:t>Centre,</w:t>
      </w:r>
      <w:r>
        <w:rPr>
          <w:color w:val="231F20"/>
          <w:spacing w:val="39"/>
        </w:rPr>
        <w:t> </w:t>
      </w:r>
      <w:r>
        <w:rPr>
          <w:color w:val="231F20"/>
        </w:rPr>
        <w:t>183</w:t>
      </w:r>
      <w:r>
        <w:rPr>
          <w:color w:val="231F20"/>
          <w:spacing w:val="39"/>
        </w:rPr>
        <w:t> </w:t>
      </w:r>
      <w:r>
        <w:rPr>
          <w:color w:val="231F20"/>
        </w:rPr>
        <w:t>Queen’s</w:t>
      </w:r>
      <w:r>
        <w:rPr>
          <w:color w:val="231F20"/>
          <w:spacing w:val="39"/>
        </w:rPr>
        <w:t> </w:t>
      </w:r>
      <w:r>
        <w:rPr>
          <w:color w:val="231F20"/>
        </w:rPr>
        <w:t>Road East,</w:t>
      </w:r>
      <w:r>
        <w:rPr>
          <w:color w:val="231F20"/>
          <w:spacing w:val="19"/>
        </w:rPr>
        <w:t> </w:t>
      </w:r>
      <w:r>
        <w:rPr>
          <w:color w:val="231F20"/>
        </w:rPr>
        <w:t>Wanchai,</w:t>
      </w:r>
      <w:r>
        <w:rPr>
          <w:color w:val="231F20"/>
          <w:spacing w:val="19"/>
        </w:rPr>
        <w:t> </w:t>
      </w:r>
      <w:r>
        <w:rPr>
          <w:color w:val="231F20"/>
        </w:rPr>
        <w:t>Hong</w:t>
      </w:r>
      <w:r>
        <w:rPr>
          <w:color w:val="231F20"/>
          <w:spacing w:val="19"/>
        </w:rPr>
        <w:t> </w:t>
      </w:r>
      <w:r>
        <w:rPr>
          <w:color w:val="231F20"/>
        </w:rPr>
        <w:t>Kong</w:t>
      </w:r>
      <w:r>
        <w:rPr>
          <w:color w:val="231F20"/>
          <w:spacing w:val="19"/>
        </w:rPr>
        <w:t> </w:t>
      </w:r>
      <w:r>
        <w:rPr>
          <w:color w:val="231F20"/>
        </w:rPr>
        <w:t>as</w:t>
      </w:r>
      <w:r>
        <w:rPr>
          <w:color w:val="231F20"/>
          <w:spacing w:val="19"/>
        </w:rPr>
        <w:t> </w:t>
      </w:r>
      <w:r>
        <w:rPr>
          <w:color w:val="231F20"/>
        </w:rPr>
        <w:t>soon</w:t>
      </w:r>
      <w:r>
        <w:rPr>
          <w:color w:val="231F20"/>
          <w:spacing w:val="19"/>
        </w:rPr>
        <w:t> </w:t>
      </w:r>
      <w:r>
        <w:rPr>
          <w:color w:val="231F20"/>
        </w:rPr>
        <w:t>as</w:t>
      </w:r>
      <w:r>
        <w:rPr>
          <w:color w:val="231F20"/>
          <w:spacing w:val="19"/>
        </w:rPr>
        <w:t> </w:t>
      </w:r>
      <w:r>
        <w:rPr>
          <w:color w:val="231F20"/>
        </w:rPr>
        <w:t>possible</w:t>
      </w:r>
      <w:r>
        <w:rPr>
          <w:color w:val="231F20"/>
          <w:spacing w:val="19"/>
        </w:rPr>
        <w:t> </w:t>
      </w:r>
      <w:r>
        <w:rPr>
          <w:color w:val="231F20"/>
        </w:rPr>
        <w:t>but</w:t>
      </w:r>
      <w:r>
        <w:rPr>
          <w:color w:val="231F20"/>
          <w:spacing w:val="19"/>
        </w:rPr>
        <w:t> </w:t>
      </w:r>
      <w:r>
        <w:rPr>
          <w:color w:val="231F20"/>
        </w:rPr>
        <w:t>in</w:t>
      </w:r>
      <w:r>
        <w:rPr>
          <w:color w:val="231F20"/>
          <w:spacing w:val="19"/>
        </w:rPr>
        <w:t> </w:t>
      </w:r>
      <w:r>
        <w:rPr>
          <w:color w:val="231F20"/>
        </w:rPr>
        <w:t>any</w:t>
      </w:r>
      <w:r>
        <w:rPr>
          <w:color w:val="231F20"/>
          <w:spacing w:val="19"/>
        </w:rPr>
        <w:t> </w:t>
      </w:r>
      <w:r>
        <w:rPr>
          <w:color w:val="231F20"/>
        </w:rPr>
        <w:t>event</w:t>
      </w:r>
      <w:r>
        <w:rPr>
          <w:color w:val="231F20"/>
          <w:spacing w:val="19"/>
        </w:rPr>
        <w:t> </w:t>
      </w:r>
      <w:r>
        <w:rPr>
          <w:color w:val="231F20"/>
        </w:rPr>
        <w:t>not</w:t>
      </w:r>
      <w:r>
        <w:rPr>
          <w:color w:val="231F20"/>
          <w:spacing w:val="19"/>
        </w:rPr>
        <w:t> </w:t>
      </w:r>
      <w:r>
        <w:rPr>
          <w:color w:val="231F20"/>
        </w:rPr>
        <w:t>later</w:t>
      </w:r>
      <w:r>
        <w:rPr>
          <w:color w:val="231F20"/>
          <w:spacing w:val="19"/>
        </w:rPr>
        <w:t> </w:t>
      </w:r>
      <w:r>
        <w:rPr>
          <w:color w:val="231F20"/>
        </w:rPr>
        <w:t>than</w:t>
      </w:r>
      <w:r>
        <w:rPr>
          <w:color w:val="231F20"/>
          <w:spacing w:val="19"/>
        </w:rPr>
        <w:t> </w:t>
      </w:r>
      <w:r>
        <w:rPr>
          <w:color w:val="231F20"/>
        </w:rPr>
        <w:t>24</w:t>
      </w:r>
      <w:r>
        <w:rPr>
          <w:color w:val="231F20"/>
          <w:spacing w:val="19"/>
        </w:rPr>
        <w:t> </w:t>
      </w:r>
      <w:r>
        <w:rPr>
          <w:color w:val="231F20"/>
        </w:rPr>
        <w:t>hours</w:t>
      </w:r>
      <w:r>
        <w:rPr>
          <w:color w:val="231F20"/>
          <w:spacing w:val="19"/>
        </w:rPr>
        <w:t> </w:t>
      </w:r>
      <w:r>
        <w:rPr>
          <w:color w:val="231F20"/>
        </w:rPr>
        <w:t>before</w:t>
      </w:r>
      <w:r>
        <w:rPr>
          <w:color w:val="231F20"/>
          <w:spacing w:val="19"/>
        </w:rPr>
        <w:t> </w:t>
      </w:r>
      <w:r>
        <w:rPr>
          <w:color w:val="231F20"/>
        </w:rPr>
        <w:t>the</w:t>
      </w:r>
      <w:r>
        <w:rPr>
          <w:color w:val="231F20"/>
          <w:spacing w:val="19"/>
        </w:rPr>
        <w:t> </w:t>
      </w:r>
      <w:r>
        <w:rPr>
          <w:color w:val="231F20"/>
        </w:rPr>
        <w:t>time</w:t>
      </w:r>
      <w:r>
        <w:rPr>
          <w:color w:val="231F20"/>
          <w:spacing w:val="19"/>
        </w:rPr>
        <w:t> </w:t>
      </w:r>
      <w:r>
        <w:rPr>
          <w:color w:val="231F20"/>
        </w:rPr>
        <w:t>fixed for</w:t>
      </w:r>
      <w:r>
        <w:rPr>
          <w:color w:val="231F20"/>
          <w:spacing w:val="26"/>
        </w:rPr>
        <w:t> </w:t>
      </w:r>
      <w:r>
        <w:rPr>
          <w:color w:val="231F20"/>
        </w:rPr>
        <w:t>holding</w:t>
      </w:r>
      <w:r>
        <w:rPr>
          <w:color w:val="231F20"/>
          <w:spacing w:val="27"/>
        </w:rPr>
        <w:t> </w:t>
      </w:r>
      <w:r>
        <w:rPr>
          <w:color w:val="231F20"/>
        </w:rPr>
        <w:t>the</w:t>
      </w:r>
      <w:r>
        <w:rPr>
          <w:color w:val="231F20"/>
          <w:spacing w:val="27"/>
        </w:rPr>
        <w:t> </w:t>
      </w:r>
      <w:r>
        <w:rPr>
          <w:color w:val="231F20"/>
        </w:rPr>
        <w:t>2025</w:t>
      </w:r>
      <w:r>
        <w:rPr>
          <w:color w:val="231F20"/>
          <w:spacing w:val="26"/>
        </w:rPr>
        <w:t> </w:t>
      </w:r>
      <w:r>
        <w:rPr>
          <w:color w:val="231F20"/>
        </w:rPr>
        <w:t>Second</w:t>
      </w:r>
      <w:r>
        <w:rPr>
          <w:color w:val="231F20"/>
          <w:spacing w:val="27"/>
        </w:rPr>
        <w:t> </w:t>
      </w:r>
      <w:r>
        <w:rPr>
          <w:color w:val="231F20"/>
        </w:rPr>
        <w:t>EGM</w:t>
      </w:r>
      <w:r>
        <w:rPr>
          <w:color w:val="231F20"/>
          <w:spacing w:val="27"/>
        </w:rPr>
        <w:t> </w:t>
      </w:r>
      <w:r>
        <w:rPr>
          <w:color w:val="231F20"/>
        </w:rPr>
        <w:t>or</w:t>
      </w:r>
      <w:r>
        <w:rPr>
          <w:color w:val="231F20"/>
          <w:spacing w:val="26"/>
        </w:rPr>
        <w:t> </w:t>
      </w:r>
      <w:r>
        <w:rPr>
          <w:color w:val="231F20"/>
        </w:rPr>
        <w:t>any</w:t>
      </w:r>
      <w:r>
        <w:rPr>
          <w:color w:val="231F20"/>
          <w:spacing w:val="27"/>
        </w:rPr>
        <w:t> </w:t>
      </w:r>
      <w:r>
        <w:rPr>
          <w:color w:val="231F20"/>
        </w:rPr>
        <w:t>adjournment</w:t>
      </w:r>
      <w:r>
        <w:rPr>
          <w:color w:val="231F20"/>
          <w:spacing w:val="27"/>
        </w:rPr>
        <w:t> </w:t>
      </w:r>
      <w:r>
        <w:rPr>
          <w:color w:val="231F20"/>
        </w:rPr>
        <w:t>thereof</w:t>
      </w:r>
      <w:r>
        <w:rPr>
          <w:color w:val="231F20"/>
          <w:spacing w:val="26"/>
        </w:rPr>
        <w:t> </w:t>
      </w:r>
      <w:r>
        <w:rPr>
          <w:color w:val="231F20"/>
        </w:rPr>
        <w:t>(as</w:t>
      </w:r>
      <w:r>
        <w:rPr>
          <w:color w:val="231F20"/>
          <w:spacing w:val="27"/>
        </w:rPr>
        <w:t> </w:t>
      </w:r>
      <w:r>
        <w:rPr>
          <w:color w:val="231F20"/>
        </w:rPr>
        <w:t>the</w:t>
      </w:r>
      <w:r>
        <w:rPr>
          <w:color w:val="231F20"/>
          <w:spacing w:val="27"/>
        </w:rPr>
        <w:t> </w:t>
      </w:r>
      <w:r>
        <w:rPr>
          <w:color w:val="231F20"/>
        </w:rPr>
        <w:t>case</w:t>
      </w:r>
      <w:r>
        <w:rPr>
          <w:color w:val="231F20"/>
          <w:spacing w:val="26"/>
        </w:rPr>
        <w:t> </w:t>
      </w:r>
      <w:r>
        <w:rPr>
          <w:color w:val="231F20"/>
        </w:rPr>
        <w:t>may</w:t>
      </w:r>
      <w:r>
        <w:rPr>
          <w:color w:val="231F20"/>
          <w:spacing w:val="27"/>
        </w:rPr>
        <w:t> </w:t>
      </w:r>
      <w:r>
        <w:rPr>
          <w:color w:val="231F20"/>
        </w:rPr>
        <w:t>be).</w:t>
      </w:r>
      <w:r>
        <w:rPr>
          <w:color w:val="231F20"/>
          <w:spacing w:val="27"/>
        </w:rPr>
        <w:t> </w:t>
      </w:r>
      <w:r>
        <w:rPr>
          <w:color w:val="231F20"/>
        </w:rPr>
        <w:t>Completion</w:t>
      </w:r>
      <w:r>
        <w:rPr>
          <w:color w:val="231F20"/>
          <w:spacing w:val="26"/>
        </w:rPr>
        <w:t> </w:t>
      </w:r>
      <w:r>
        <w:rPr>
          <w:color w:val="231F20"/>
        </w:rPr>
        <w:t>and</w:t>
      </w:r>
      <w:r>
        <w:rPr>
          <w:color w:val="231F20"/>
          <w:spacing w:val="27"/>
        </w:rPr>
        <w:t> </w:t>
      </w:r>
      <w:r>
        <w:rPr>
          <w:color w:val="231F20"/>
        </w:rPr>
        <w:t>return of the proxy form will not preclude you from attending and voting at the 2025 Second EGM or any adjourned meeting in person should you so desire.</w:t>
      </w:r>
    </w:p>
    <w:p>
      <w:pPr>
        <w:pStyle w:val="BodyText"/>
        <w:spacing w:line="280" w:lineRule="atLeast" w:before="225"/>
        <w:ind w:left="142" w:right="133" w:firstLine="567"/>
        <w:jc w:val="both"/>
      </w:pPr>
      <w:r>
        <w:rPr>
          <w:color w:val="231F20"/>
        </w:rPr>
        <w:t>To</w:t>
      </w:r>
      <w:r>
        <w:rPr>
          <w:color w:val="231F20"/>
          <w:spacing w:val="30"/>
        </w:rPr>
        <w:t> </w:t>
      </w:r>
      <w:r>
        <w:rPr>
          <w:color w:val="231F20"/>
        </w:rPr>
        <w:t>determine</w:t>
      </w:r>
      <w:r>
        <w:rPr>
          <w:color w:val="231F20"/>
          <w:spacing w:val="30"/>
        </w:rPr>
        <w:t> </w:t>
      </w:r>
      <w:r>
        <w:rPr>
          <w:color w:val="231F20"/>
        </w:rPr>
        <w:t>the</w:t>
      </w:r>
      <w:r>
        <w:rPr>
          <w:color w:val="231F20"/>
          <w:spacing w:val="30"/>
        </w:rPr>
        <w:t> </w:t>
      </w:r>
      <w:r>
        <w:rPr>
          <w:color w:val="231F20"/>
        </w:rPr>
        <w:t>eligibility</w:t>
      </w:r>
      <w:r>
        <w:rPr>
          <w:color w:val="231F20"/>
          <w:spacing w:val="30"/>
        </w:rPr>
        <w:t> </w:t>
      </w:r>
      <w:r>
        <w:rPr>
          <w:color w:val="231F20"/>
        </w:rPr>
        <w:t>of</w:t>
      </w:r>
      <w:r>
        <w:rPr>
          <w:color w:val="231F20"/>
          <w:spacing w:val="30"/>
        </w:rPr>
        <w:t> </w:t>
      </w:r>
      <w:r>
        <w:rPr>
          <w:color w:val="231F20"/>
        </w:rPr>
        <w:t>the</w:t>
      </w:r>
      <w:r>
        <w:rPr>
          <w:color w:val="231F20"/>
          <w:spacing w:val="30"/>
        </w:rPr>
        <w:t> </w:t>
      </w:r>
      <w:r>
        <w:rPr>
          <w:color w:val="231F20"/>
        </w:rPr>
        <w:t>holders</w:t>
      </w:r>
      <w:r>
        <w:rPr>
          <w:color w:val="231F20"/>
          <w:spacing w:val="30"/>
        </w:rPr>
        <w:t> </w:t>
      </w:r>
      <w:r>
        <w:rPr>
          <w:color w:val="231F20"/>
        </w:rPr>
        <w:t>of</w:t>
      </w:r>
      <w:r>
        <w:rPr>
          <w:color w:val="231F20"/>
          <w:spacing w:val="30"/>
        </w:rPr>
        <w:t> </w:t>
      </w:r>
      <w:r>
        <w:rPr>
          <w:color w:val="231F20"/>
        </w:rPr>
        <w:t>H</w:t>
      </w:r>
      <w:r>
        <w:rPr>
          <w:color w:val="231F20"/>
          <w:spacing w:val="30"/>
        </w:rPr>
        <w:t> </w:t>
      </w:r>
      <w:r>
        <w:rPr>
          <w:color w:val="231F20"/>
        </w:rPr>
        <w:t>Shares</w:t>
      </w:r>
      <w:r>
        <w:rPr>
          <w:color w:val="231F20"/>
          <w:spacing w:val="30"/>
        </w:rPr>
        <w:t> </w:t>
      </w:r>
      <w:r>
        <w:rPr>
          <w:color w:val="231F20"/>
        </w:rPr>
        <w:t>to</w:t>
      </w:r>
      <w:r>
        <w:rPr>
          <w:color w:val="231F20"/>
          <w:spacing w:val="30"/>
        </w:rPr>
        <w:t> </w:t>
      </w:r>
      <w:r>
        <w:rPr>
          <w:color w:val="231F20"/>
        </w:rPr>
        <w:t>attend</w:t>
      </w:r>
      <w:r>
        <w:rPr>
          <w:color w:val="231F20"/>
          <w:spacing w:val="30"/>
        </w:rPr>
        <w:t> </w:t>
      </w:r>
      <w:r>
        <w:rPr>
          <w:color w:val="231F20"/>
        </w:rPr>
        <w:t>and</w:t>
      </w:r>
      <w:r>
        <w:rPr>
          <w:color w:val="231F20"/>
          <w:spacing w:val="30"/>
        </w:rPr>
        <w:t> </w:t>
      </w:r>
      <w:r>
        <w:rPr>
          <w:color w:val="231F20"/>
        </w:rPr>
        <w:t>vote</w:t>
      </w:r>
      <w:r>
        <w:rPr>
          <w:color w:val="231F20"/>
          <w:spacing w:val="30"/>
        </w:rPr>
        <w:t> </w:t>
      </w:r>
      <w:r>
        <w:rPr>
          <w:color w:val="231F20"/>
        </w:rPr>
        <w:t>at</w:t>
      </w:r>
      <w:r>
        <w:rPr>
          <w:color w:val="231F20"/>
          <w:spacing w:val="30"/>
        </w:rPr>
        <w:t> </w:t>
      </w:r>
      <w:r>
        <w:rPr>
          <w:color w:val="231F20"/>
        </w:rPr>
        <w:t>the</w:t>
      </w:r>
      <w:r>
        <w:rPr>
          <w:color w:val="231F20"/>
          <w:spacing w:val="30"/>
        </w:rPr>
        <w:t> </w:t>
      </w:r>
      <w:r>
        <w:rPr>
          <w:color w:val="231F20"/>
        </w:rPr>
        <w:t>2025</w:t>
      </w:r>
      <w:r>
        <w:rPr>
          <w:color w:val="231F20"/>
          <w:spacing w:val="30"/>
        </w:rPr>
        <w:t> </w:t>
      </w:r>
      <w:r>
        <w:rPr>
          <w:color w:val="231F20"/>
        </w:rPr>
        <w:t>Second</w:t>
      </w:r>
      <w:r>
        <w:rPr>
          <w:color w:val="231F20"/>
          <w:spacing w:val="30"/>
        </w:rPr>
        <w:t> </w:t>
      </w:r>
      <w:r>
        <w:rPr>
          <w:color w:val="231F20"/>
        </w:rPr>
        <w:t>EGM, the</w:t>
      </w:r>
      <w:r>
        <w:rPr>
          <w:color w:val="231F20"/>
          <w:spacing w:val="35"/>
        </w:rPr>
        <w:t> </w:t>
      </w:r>
      <w:r>
        <w:rPr>
          <w:color w:val="231F20"/>
        </w:rPr>
        <w:t>register</w:t>
      </w:r>
      <w:r>
        <w:rPr>
          <w:color w:val="231F20"/>
          <w:spacing w:val="37"/>
        </w:rPr>
        <w:t> </w:t>
      </w:r>
      <w:r>
        <w:rPr>
          <w:color w:val="231F20"/>
        </w:rPr>
        <w:t>of</w:t>
      </w:r>
      <w:r>
        <w:rPr>
          <w:color w:val="231F20"/>
          <w:spacing w:val="35"/>
        </w:rPr>
        <w:t> </w:t>
      </w:r>
      <w:r>
        <w:rPr>
          <w:color w:val="231F20"/>
        </w:rPr>
        <w:t>the</w:t>
      </w:r>
      <w:r>
        <w:rPr>
          <w:color w:val="231F20"/>
          <w:spacing w:val="37"/>
        </w:rPr>
        <w:t> </w:t>
      </w:r>
      <w:r>
        <w:rPr>
          <w:color w:val="231F20"/>
        </w:rPr>
        <w:t>holders</w:t>
      </w:r>
      <w:r>
        <w:rPr>
          <w:color w:val="231F20"/>
          <w:spacing w:val="37"/>
        </w:rPr>
        <w:t> </w:t>
      </w:r>
      <w:r>
        <w:rPr>
          <w:color w:val="231F20"/>
        </w:rPr>
        <w:t>of</w:t>
      </w:r>
      <w:r>
        <w:rPr>
          <w:color w:val="231F20"/>
          <w:spacing w:val="37"/>
        </w:rPr>
        <w:t> </w:t>
      </w:r>
      <w:r>
        <w:rPr>
          <w:color w:val="231F20"/>
        </w:rPr>
        <w:t>H</w:t>
      </w:r>
      <w:r>
        <w:rPr>
          <w:color w:val="231F20"/>
          <w:spacing w:val="35"/>
        </w:rPr>
        <w:t> </w:t>
      </w:r>
      <w:r>
        <w:rPr>
          <w:color w:val="231F20"/>
        </w:rPr>
        <w:t>Shares</w:t>
      </w:r>
      <w:r>
        <w:rPr>
          <w:color w:val="231F20"/>
          <w:spacing w:val="37"/>
        </w:rPr>
        <w:t> </w:t>
      </w:r>
      <w:r>
        <w:rPr>
          <w:color w:val="231F20"/>
        </w:rPr>
        <w:t>of</w:t>
      </w:r>
      <w:r>
        <w:rPr>
          <w:color w:val="231F20"/>
          <w:spacing w:val="35"/>
        </w:rPr>
        <w:t> </w:t>
      </w:r>
      <w:r>
        <w:rPr>
          <w:color w:val="231F20"/>
        </w:rPr>
        <w:t>the</w:t>
      </w:r>
      <w:r>
        <w:rPr>
          <w:color w:val="231F20"/>
          <w:spacing w:val="37"/>
        </w:rPr>
        <w:t> </w:t>
      </w:r>
      <w:r>
        <w:rPr>
          <w:color w:val="231F20"/>
        </w:rPr>
        <w:t>Company</w:t>
      </w:r>
      <w:r>
        <w:rPr>
          <w:color w:val="231F20"/>
          <w:spacing w:val="35"/>
        </w:rPr>
        <w:t> </w:t>
      </w:r>
      <w:r>
        <w:rPr>
          <w:color w:val="231F20"/>
        </w:rPr>
        <w:t>will</w:t>
      </w:r>
      <w:r>
        <w:rPr>
          <w:color w:val="231F20"/>
          <w:spacing w:val="37"/>
        </w:rPr>
        <w:t> </w:t>
      </w:r>
      <w:r>
        <w:rPr>
          <w:color w:val="231F20"/>
        </w:rPr>
        <w:t>be</w:t>
      </w:r>
      <w:r>
        <w:rPr>
          <w:color w:val="231F20"/>
          <w:spacing w:val="35"/>
        </w:rPr>
        <w:t> </w:t>
      </w:r>
      <w:r>
        <w:rPr>
          <w:color w:val="231F20"/>
        </w:rPr>
        <w:t>closed</w:t>
      </w:r>
      <w:r>
        <w:rPr>
          <w:color w:val="231F20"/>
          <w:spacing w:val="37"/>
        </w:rPr>
        <w:t> </w:t>
      </w:r>
      <w:r>
        <w:rPr>
          <w:color w:val="231F20"/>
        </w:rPr>
        <w:t>from</w:t>
      </w:r>
      <w:r>
        <w:rPr>
          <w:color w:val="231F20"/>
          <w:spacing w:val="35"/>
        </w:rPr>
        <w:t> </w:t>
      </w:r>
      <w:r>
        <w:rPr>
          <w:color w:val="231F20"/>
        </w:rPr>
        <w:t>Thursday,</w:t>
      </w:r>
      <w:r>
        <w:rPr>
          <w:color w:val="231F20"/>
          <w:spacing w:val="37"/>
        </w:rPr>
        <w:t> </w:t>
      </w:r>
      <w:r>
        <w:rPr>
          <w:color w:val="231F20"/>
        </w:rPr>
        <w:t>September</w:t>
      </w:r>
      <w:r>
        <w:rPr>
          <w:color w:val="231F20"/>
          <w:spacing w:val="35"/>
        </w:rPr>
        <w:t> </w:t>
      </w:r>
      <w:r>
        <w:rPr>
          <w:color w:val="231F20"/>
        </w:rPr>
        <w:t>4,</w:t>
      </w:r>
      <w:r>
        <w:rPr>
          <w:color w:val="231F20"/>
          <w:spacing w:val="37"/>
        </w:rPr>
        <w:t> </w:t>
      </w:r>
      <w:r>
        <w:rPr>
          <w:color w:val="231F20"/>
        </w:rPr>
        <w:t>2025 to Monday, September 8, 2025 (both days inclusive). During this period, no transfer of H Shares will be registered.</w:t>
      </w:r>
      <w:r>
        <w:rPr>
          <w:color w:val="231F20"/>
          <w:spacing w:val="40"/>
        </w:rPr>
        <w:t> </w:t>
      </w:r>
      <w:r>
        <w:rPr>
          <w:color w:val="231F20"/>
        </w:rPr>
        <w:t>Any</w:t>
      </w:r>
      <w:r>
        <w:rPr>
          <w:color w:val="231F20"/>
          <w:spacing w:val="40"/>
        </w:rPr>
        <w:t> </w:t>
      </w:r>
      <w:r>
        <w:rPr>
          <w:color w:val="231F20"/>
        </w:rPr>
        <w:t>holder</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H</w:t>
      </w:r>
      <w:r>
        <w:rPr>
          <w:color w:val="231F20"/>
          <w:spacing w:val="40"/>
        </w:rPr>
        <w:t> </w:t>
      </w:r>
      <w:r>
        <w:rPr>
          <w:color w:val="231F20"/>
        </w:rPr>
        <w:t>Shares,</w:t>
      </w:r>
      <w:r>
        <w:rPr>
          <w:color w:val="231F20"/>
          <w:spacing w:val="40"/>
        </w:rPr>
        <w:t> </w:t>
      </w:r>
      <w:r>
        <w:rPr>
          <w:color w:val="231F20"/>
        </w:rPr>
        <w:t>whose</w:t>
      </w:r>
      <w:r>
        <w:rPr>
          <w:color w:val="231F20"/>
          <w:spacing w:val="40"/>
        </w:rPr>
        <w:t> </w:t>
      </w:r>
      <w:r>
        <w:rPr>
          <w:color w:val="231F20"/>
        </w:rPr>
        <w:t>name</w:t>
      </w:r>
      <w:r>
        <w:rPr>
          <w:color w:val="231F20"/>
          <w:spacing w:val="40"/>
        </w:rPr>
        <w:t> </w:t>
      </w:r>
      <w:r>
        <w:rPr>
          <w:color w:val="231F20"/>
        </w:rPr>
        <w:t>appears</w:t>
      </w:r>
      <w:r>
        <w:rPr>
          <w:color w:val="231F20"/>
          <w:spacing w:val="40"/>
        </w:rPr>
        <w:t> </w:t>
      </w:r>
      <w:r>
        <w:rPr>
          <w:color w:val="231F20"/>
        </w:rPr>
        <w:t>on</w:t>
      </w:r>
      <w:r>
        <w:rPr>
          <w:color w:val="231F20"/>
          <w:spacing w:val="40"/>
        </w:rPr>
        <w:t> </w:t>
      </w:r>
      <w:r>
        <w:rPr>
          <w:color w:val="231F20"/>
        </w:rPr>
        <w:t>the</w:t>
      </w:r>
      <w:r>
        <w:rPr>
          <w:color w:val="231F20"/>
          <w:spacing w:val="40"/>
        </w:rPr>
        <w:t> </w:t>
      </w:r>
      <w:r>
        <w:rPr>
          <w:color w:val="231F20"/>
        </w:rPr>
        <w:t>Company’s</w:t>
      </w:r>
      <w:r>
        <w:rPr>
          <w:color w:val="231F20"/>
          <w:spacing w:val="40"/>
        </w:rPr>
        <w:t> </w:t>
      </w:r>
      <w:r>
        <w:rPr>
          <w:color w:val="231F20"/>
        </w:rPr>
        <w:t>register</w:t>
      </w:r>
      <w:r>
        <w:rPr>
          <w:color w:val="231F20"/>
          <w:spacing w:val="40"/>
        </w:rPr>
        <w:t> </w:t>
      </w:r>
      <w:r>
        <w:rPr>
          <w:color w:val="231F20"/>
        </w:rPr>
        <w:t>of</w:t>
      </w:r>
      <w:r>
        <w:rPr>
          <w:color w:val="231F20"/>
          <w:spacing w:val="40"/>
        </w:rPr>
        <w:t> </w:t>
      </w:r>
      <w:r>
        <w:rPr>
          <w:color w:val="231F20"/>
        </w:rPr>
        <w:t>members</w:t>
      </w:r>
      <w:r>
        <w:rPr>
          <w:color w:val="231F20"/>
          <w:spacing w:val="40"/>
        </w:rPr>
        <w:t> </w:t>
      </w:r>
      <w:r>
        <w:rPr>
          <w:color w:val="231F20"/>
        </w:rPr>
        <w:t>on Monday,</w:t>
      </w:r>
      <w:r>
        <w:rPr>
          <w:color w:val="231F20"/>
          <w:spacing w:val="20"/>
        </w:rPr>
        <w:t> </w:t>
      </w:r>
      <w:r>
        <w:rPr>
          <w:color w:val="231F20"/>
        </w:rPr>
        <w:t>September</w:t>
      </w:r>
      <w:r>
        <w:rPr>
          <w:color w:val="231F20"/>
          <w:spacing w:val="20"/>
        </w:rPr>
        <w:t> </w:t>
      </w:r>
      <w:r>
        <w:rPr>
          <w:color w:val="231F20"/>
        </w:rPr>
        <w:t>8,</w:t>
      </w:r>
      <w:r>
        <w:rPr>
          <w:color w:val="231F20"/>
          <w:spacing w:val="20"/>
        </w:rPr>
        <w:t> </w:t>
      </w:r>
      <w:r>
        <w:rPr>
          <w:color w:val="231F20"/>
        </w:rPr>
        <w:t>2025,</w:t>
      </w:r>
      <w:r>
        <w:rPr>
          <w:color w:val="231F20"/>
          <w:spacing w:val="20"/>
        </w:rPr>
        <w:t> </w:t>
      </w:r>
      <w:r>
        <w:rPr>
          <w:color w:val="231F20"/>
        </w:rPr>
        <w:t>is</w:t>
      </w:r>
      <w:r>
        <w:rPr>
          <w:color w:val="231F20"/>
          <w:spacing w:val="20"/>
        </w:rPr>
        <w:t> </w:t>
      </w:r>
      <w:r>
        <w:rPr>
          <w:color w:val="231F20"/>
        </w:rPr>
        <w:t>entitled</w:t>
      </w:r>
      <w:r>
        <w:rPr>
          <w:color w:val="231F20"/>
          <w:spacing w:val="20"/>
        </w:rPr>
        <w:t> </w:t>
      </w:r>
      <w:r>
        <w:rPr>
          <w:color w:val="231F20"/>
        </w:rPr>
        <w:t>to</w:t>
      </w:r>
      <w:r>
        <w:rPr>
          <w:color w:val="231F20"/>
          <w:spacing w:val="20"/>
        </w:rPr>
        <w:t> </w:t>
      </w:r>
      <w:r>
        <w:rPr>
          <w:color w:val="231F20"/>
        </w:rPr>
        <w:t>attend</w:t>
      </w:r>
      <w:r>
        <w:rPr>
          <w:color w:val="231F20"/>
          <w:spacing w:val="20"/>
        </w:rPr>
        <w:t> </w:t>
      </w:r>
      <w:r>
        <w:rPr>
          <w:color w:val="231F20"/>
        </w:rPr>
        <w:t>and</w:t>
      </w:r>
      <w:r>
        <w:rPr>
          <w:color w:val="231F20"/>
          <w:spacing w:val="20"/>
        </w:rPr>
        <w:t> </w:t>
      </w:r>
      <w:r>
        <w:rPr>
          <w:color w:val="231F20"/>
        </w:rPr>
        <w:t>vote</w:t>
      </w:r>
      <w:r>
        <w:rPr>
          <w:color w:val="231F20"/>
          <w:spacing w:val="20"/>
        </w:rPr>
        <w:t> </w:t>
      </w:r>
      <w:r>
        <w:rPr>
          <w:color w:val="231F20"/>
        </w:rPr>
        <w:t>at</w:t>
      </w:r>
      <w:r>
        <w:rPr>
          <w:color w:val="231F20"/>
          <w:spacing w:val="20"/>
        </w:rPr>
        <w:t> </w:t>
      </w:r>
      <w:r>
        <w:rPr>
          <w:color w:val="231F20"/>
        </w:rPr>
        <w:t>the</w:t>
      </w:r>
      <w:r>
        <w:rPr>
          <w:color w:val="231F20"/>
          <w:spacing w:val="20"/>
        </w:rPr>
        <w:t> </w:t>
      </w:r>
      <w:r>
        <w:rPr>
          <w:color w:val="231F20"/>
        </w:rPr>
        <w:t>2025</w:t>
      </w:r>
      <w:r>
        <w:rPr>
          <w:color w:val="231F20"/>
          <w:spacing w:val="20"/>
        </w:rPr>
        <w:t> </w:t>
      </w:r>
      <w:r>
        <w:rPr>
          <w:color w:val="231F20"/>
        </w:rPr>
        <w:t>Second</w:t>
      </w:r>
      <w:r>
        <w:rPr>
          <w:color w:val="231F20"/>
          <w:spacing w:val="20"/>
        </w:rPr>
        <w:t> </w:t>
      </w:r>
      <w:r>
        <w:rPr>
          <w:color w:val="231F20"/>
        </w:rPr>
        <w:t>EGM.</w:t>
      </w:r>
      <w:r>
        <w:rPr>
          <w:color w:val="231F20"/>
          <w:spacing w:val="20"/>
        </w:rPr>
        <w:t> </w:t>
      </w:r>
      <w:r>
        <w:rPr>
          <w:color w:val="231F20"/>
        </w:rPr>
        <w:t>In</w:t>
      </w:r>
      <w:r>
        <w:rPr>
          <w:color w:val="231F20"/>
          <w:spacing w:val="20"/>
        </w:rPr>
        <w:t> </w:t>
      </w:r>
      <w:r>
        <w:rPr>
          <w:color w:val="231F20"/>
        </w:rPr>
        <w:t>order</w:t>
      </w:r>
      <w:r>
        <w:rPr>
          <w:color w:val="231F20"/>
          <w:spacing w:val="20"/>
        </w:rPr>
        <w:t> </w:t>
      </w:r>
      <w:r>
        <w:rPr>
          <w:color w:val="231F20"/>
        </w:rPr>
        <w:t>for</w:t>
      </w:r>
      <w:r>
        <w:rPr>
          <w:color w:val="231F20"/>
          <w:spacing w:val="20"/>
        </w:rPr>
        <w:t> </w:t>
      </w:r>
      <w:r>
        <w:rPr>
          <w:color w:val="231F20"/>
        </w:rPr>
        <w:t>the</w:t>
      </w:r>
      <w:r>
        <w:rPr>
          <w:color w:val="231F20"/>
          <w:spacing w:val="20"/>
        </w:rPr>
        <w:t> </w:t>
      </w:r>
      <w:r>
        <w:rPr>
          <w:color w:val="231F20"/>
        </w:rPr>
        <w:t>holders of</w:t>
      </w:r>
      <w:r>
        <w:rPr>
          <w:color w:val="231F20"/>
          <w:spacing w:val="20"/>
        </w:rPr>
        <w:t> </w:t>
      </w:r>
      <w:r>
        <w:rPr>
          <w:color w:val="231F20"/>
        </w:rPr>
        <w:t>H</w:t>
      </w:r>
      <w:r>
        <w:rPr>
          <w:color w:val="231F20"/>
          <w:spacing w:val="20"/>
        </w:rPr>
        <w:t> </w:t>
      </w:r>
      <w:r>
        <w:rPr>
          <w:color w:val="231F20"/>
        </w:rPr>
        <w:t>Shares</w:t>
      </w:r>
      <w:r>
        <w:rPr>
          <w:color w:val="231F20"/>
          <w:spacing w:val="20"/>
        </w:rPr>
        <w:t> </w:t>
      </w:r>
      <w:r>
        <w:rPr>
          <w:color w:val="231F20"/>
        </w:rPr>
        <w:t>to</w:t>
      </w:r>
      <w:r>
        <w:rPr>
          <w:color w:val="231F20"/>
          <w:spacing w:val="20"/>
        </w:rPr>
        <w:t> </w:t>
      </w:r>
      <w:r>
        <w:rPr>
          <w:color w:val="231F20"/>
        </w:rPr>
        <w:t>be</w:t>
      </w:r>
      <w:r>
        <w:rPr>
          <w:color w:val="231F20"/>
          <w:spacing w:val="20"/>
        </w:rPr>
        <w:t> </w:t>
      </w:r>
      <w:r>
        <w:rPr>
          <w:color w:val="231F20"/>
        </w:rPr>
        <w:t>qualified</w:t>
      </w:r>
      <w:r>
        <w:rPr>
          <w:color w:val="231F20"/>
          <w:spacing w:val="20"/>
        </w:rPr>
        <w:t> </w:t>
      </w:r>
      <w:r>
        <w:rPr>
          <w:color w:val="231F20"/>
        </w:rPr>
        <w:t>to</w:t>
      </w:r>
      <w:r>
        <w:rPr>
          <w:color w:val="231F20"/>
          <w:spacing w:val="20"/>
        </w:rPr>
        <w:t> </w:t>
      </w:r>
      <w:r>
        <w:rPr>
          <w:color w:val="231F20"/>
        </w:rPr>
        <w:t>attend</w:t>
      </w:r>
      <w:r>
        <w:rPr>
          <w:color w:val="231F20"/>
          <w:spacing w:val="20"/>
        </w:rPr>
        <w:t> </w:t>
      </w:r>
      <w:r>
        <w:rPr>
          <w:color w:val="231F20"/>
        </w:rPr>
        <w:t>and</w:t>
      </w:r>
      <w:r>
        <w:rPr>
          <w:color w:val="231F20"/>
          <w:spacing w:val="20"/>
        </w:rPr>
        <w:t> </w:t>
      </w:r>
      <w:r>
        <w:rPr>
          <w:color w:val="231F20"/>
        </w:rPr>
        <w:t>vote</w:t>
      </w:r>
      <w:r>
        <w:rPr>
          <w:color w:val="231F20"/>
          <w:spacing w:val="20"/>
        </w:rPr>
        <w:t> </w:t>
      </w:r>
      <w:r>
        <w:rPr>
          <w:color w:val="231F20"/>
        </w:rPr>
        <w:t>at</w:t>
      </w:r>
      <w:r>
        <w:rPr>
          <w:color w:val="231F20"/>
          <w:spacing w:val="20"/>
        </w:rPr>
        <w:t> </w:t>
      </w:r>
      <w:r>
        <w:rPr>
          <w:color w:val="231F20"/>
        </w:rPr>
        <w:t>the</w:t>
      </w:r>
      <w:r>
        <w:rPr>
          <w:color w:val="231F20"/>
          <w:spacing w:val="20"/>
        </w:rPr>
        <w:t> </w:t>
      </w:r>
      <w:r>
        <w:rPr>
          <w:color w:val="231F20"/>
        </w:rPr>
        <w:t>2025</w:t>
      </w:r>
      <w:r>
        <w:rPr>
          <w:color w:val="231F20"/>
          <w:spacing w:val="20"/>
        </w:rPr>
        <w:t> </w:t>
      </w:r>
      <w:r>
        <w:rPr>
          <w:color w:val="231F20"/>
        </w:rPr>
        <w:t>Second</w:t>
      </w:r>
      <w:r>
        <w:rPr>
          <w:color w:val="231F20"/>
          <w:spacing w:val="20"/>
        </w:rPr>
        <w:t> </w:t>
      </w:r>
      <w:r>
        <w:rPr>
          <w:color w:val="231F20"/>
        </w:rPr>
        <w:t>EGM,</w:t>
      </w:r>
      <w:r>
        <w:rPr>
          <w:color w:val="231F20"/>
          <w:spacing w:val="20"/>
        </w:rPr>
        <w:t> </w:t>
      </w:r>
      <w:r>
        <w:rPr>
          <w:color w:val="231F20"/>
        </w:rPr>
        <w:t>all</w:t>
      </w:r>
      <w:r>
        <w:rPr>
          <w:color w:val="231F20"/>
          <w:spacing w:val="20"/>
        </w:rPr>
        <w:t> </w:t>
      </w:r>
      <w:r>
        <w:rPr>
          <w:color w:val="231F20"/>
        </w:rPr>
        <w:t>transfer</w:t>
      </w:r>
      <w:r>
        <w:rPr>
          <w:color w:val="231F20"/>
          <w:spacing w:val="20"/>
        </w:rPr>
        <w:t> </w:t>
      </w:r>
      <w:r>
        <w:rPr>
          <w:color w:val="231F20"/>
        </w:rPr>
        <w:t>documents</w:t>
      </w:r>
      <w:r>
        <w:rPr>
          <w:color w:val="231F20"/>
          <w:spacing w:val="20"/>
        </w:rPr>
        <w:t> </w:t>
      </w:r>
      <w:r>
        <w:rPr>
          <w:color w:val="231F20"/>
        </w:rPr>
        <w:t>accompanied by</w:t>
      </w:r>
      <w:r>
        <w:rPr>
          <w:color w:val="231F20"/>
          <w:spacing w:val="38"/>
        </w:rPr>
        <w:t> </w:t>
      </w:r>
      <w:r>
        <w:rPr>
          <w:color w:val="231F20"/>
        </w:rPr>
        <w:t>the</w:t>
      </w:r>
      <w:r>
        <w:rPr>
          <w:color w:val="231F20"/>
          <w:spacing w:val="38"/>
        </w:rPr>
        <w:t> </w:t>
      </w:r>
      <w:r>
        <w:rPr>
          <w:color w:val="231F20"/>
        </w:rPr>
        <w:t>relevant</w:t>
      </w:r>
      <w:r>
        <w:rPr>
          <w:color w:val="231F20"/>
          <w:spacing w:val="38"/>
        </w:rPr>
        <w:t> </w:t>
      </w:r>
      <w:r>
        <w:rPr>
          <w:color w:val="231F20"/>
        </w:rPr>
        <w:t>H</w:t>
      </w:r>
      <w:r>
        <w:rPr>
          <w:color w:val="231F20"/>
          <w:spacing w:val="38"/>
        </w:rPr>
        <w:t> </w:t>
      </w:r>
      <w:r>
        <w:rPr>
          <w:color w:val="231F20"/>
        </w:rPr>
        <w:t>Share</w:t>
      </w:r>
      <w:r>
        <w:rPr>
          <w:color w:val="231F20"/>
          <w:spacing w:val="38"/>
        </w:rPr>
        <w:t> </w:t>
      </w:r>
      <w:r>
        <w:rPr>
          <w:color w:val="231F20"/>
        </w:rPr>
        <w:t>certificates</w:t>
      </w:r>
      <w:r>
        <w:rPr>
          <w:color w:val="231F20"/>
          <w:spacing w:val="38"/>
        </w:rPr>
        <w:t> </w:t>
      </w:r>
      <w:r>
        <w:rPr>
          <w:color w:val="231F20"/>
        </w:rPr>
        <w:t>must</w:t>
      </w:r>
      <w:r>
        <w:rPr>
          <w:color w:val="231F20"/>
          <w:spacing w:val="38"/>
        </w:rPr>
        <w:t> </w:t>
      </w:r>
      <w:r>
        <w:rPr>
          <w:color w:val="231F20"/>
        </w:rPr>
        <w:t>be</w:t>
      </w:r>
      <w:r>
        <w:rPr>
          <w:color w:val="231F20"/>
          <w:spacing w:val="38"/>
        </w:rPr>
        <w:t> </w:t>
      </w:r>
      <w:r>
        <w:rPr>
          <w:color w:val="231F20"/>
        </w:rPr>
        <w:t>lodged</w:t>
      </w:r>
      <w:r>
        <w:rPr>
          <w:color w:val="231F20"/>
          <w:spacing w:val="38"/>
        </w:rPr>
        <w:t> </w:t>
      </w:r>
      <w:r>
        <w:rPr>
          <w:color w:val="231F20"/>
        </w:rPr>
        <w:t>with</w:t>
      </w:r>
      <w:r>
        <w:rPr>
          <w:color w:val="231F20"/>
          <w:spacing w:val="38"/>
        </w:rPr>
        <w:t> </w:t>
      </w:r>
      <w:r>
        <w:rPr>
          <w:color w:val="231F20"/>
        </w:rPr>
        <w:t>the</w:t>
      </w:r>
      <w:r>
        <w:rPr>
          <w:color w:val="231F20"/>
          <w:spacing w:val="38"/>
        </w:rPr>
        <w:t> </w:t>
      </w:r>
      <w:r>
        <w:rPr>
          <w:color w:val="231F20"/>
        </w:rPr>
        <w:t>Company’s</w:t>
      </w:r>
      <w:r>
        <w:rPr>
          <w:color w:val="231F20"/>
          <w:spacing w:val="38"/>
        </w:rPr>
        <w:t> </w:t>
      </w:r>
      <w:r>
        <w:rPr>
          <w:color w:val="231F20"/>
        </w:rPr>
        <w:t>H</w:t>
      </w:r>
      <w:r>
        <w:rPr>
          <w:color w:val="231F20"/>
          <w:spacing w:val="38"/>
        </w:rPr>
        <w:t> </w:t>
      </w:r>
      <w:r>
        <w:rPr>
          <w:color w:val="231F20"/>
        </w:rPr>
        <w:t>share</w:t>
      </w:r>
      <w:r>
        <w:rPr>
          <w:color w:val="231F20"/>
          <w:spacing w:val="38"/>
        </w:rPr>
        <w:t> </w:t>
      </w:r>
      <w:r>
        <w:rPr>
          <w:color w:val="231F20"/>
        </w:rPr>
        <w:t>registrar,</w:t>
      </w:r>
      <w:r>
        <w:rPr>
          <w:color w:val="231F20"/>
          <w:spacing w:val="38"/>
        </w:rPr>
        <w:t> </w:t>
      </w:r>
      <w:r>
        <w:rPr>
          <w:color w:val="231F20"/>
        </w:rPr>
        <w:t>Computershare Hong Kong Investor Services Limited, at Shops 1712</w:t>
      </w:r>
      <w:r>
        <w:rPr>
          <w:color w:val="231F20"/>
          <w:position w:val="3"/>
        </w:rPr>
        <w:t>–</w:t>
      </w:r>
      <w:r>
        <w:rPr>
          <w:color w:val="231F20"/>
        </w:rPr>
        <w:t>1716, 17th Floor, Hopewell Centre, 183 Queen’s Road East,</w:t>
      </w:r>
      <w:r>
        <w:rPr>
          <w:color w:val="231F20"/>
          <w:spacing w:val="39"/>
        </w:rPr>
        <w:t> </w:t>
      </w:r>
      <w:r>
        <w:rPr>
          <w:color w:val="231F20"/>
        </w:rPr>
        <w:t>Wanchai,</w:t>
      </w:r>
      <w:r>
        <w:rPr>
          <w:color w:val="231F20"/>
          <w:spacing w:val="39"/>
        </w:rPr>
        <w:t> </w:t>
      </w:r>
      <w:r>
        <w:rPr>
          <w:color w:val="231F20"/>
        </w:rPr>
        <w:t>Hong</w:t>
      </w:r>
      <w:r>
        <w:rPr>
          <w:color w:val="231F20"/>
          <w:spacing w:val="39"/>
        </w:rPr>
        <w:t> </w:t>
      </w:r>
      <w:r>
        <w:rPr>
          <w:color w:val="231F20"/>
        </w:rPr>
        <w:t>Kong</w:t>
      </w:r>
      <w:r>
        <w:rPr>
          <w:color w:val="231F20"/>
          <w:spacing w:val="39"/>
        </w:rPr>
        <w:t> </w:t>
      </w:r>
      <w:r>
        <w:rPr>
          <w:color w:val="231F20"/>
        </w:rPr>
        <w:t>not</w:t>
      </w:r>
      <w:r>
        <w:rPr>
          <w:color w:val="231F20"/>
          <w:spacing w:val="39"/>
        </w:rPr>
        <w:t> </w:t>
      </w:r>
      <w:r>
        <w:rPr>
          <w:color w:val="231F20"/>
        </w:rPr>
        <w:t>later</w:t>
      </w:r>
      <w:r>
        <w:rPr>
          <w:color w:val="231F20"/>
          <w:spacing w:val="39"/>
        </w:rPr>
        <w:t> </w:t>
      </w:r>
      <w:r>
        <w:rPr>
          <w:color w:val="231F20"/>
        </w:rPr>
        <w:t>than</w:t>
      </w:r>
      <w:r>
        <w:rPr>
          <w:color w:val="231F20"/>
          <w:spacing w:val="39"/>
        </w:rPr>
        <w:t> </w:t>
      </w:r>
      <w:r>
        <w:rPr>
          <w:color w:val="231F20"/>
        </w:rPr>
        <w:t>4:30</w:t>
      </w:r>
      <w:r>
        <w:rPr>
          <w:color w:val="231F20"/>
          <w:spacing w:val="39"/>
        </w:rPr>
        <w:t> </w:t>
      </w:r>
      <w:r>
        <w:rPr>
          <w:color w:val="231F20"/>
        </w:rPr>
        <w:t>p.m.</w:t>
      </w:r>
      <w:r>
        <w:rPr>
          <w:color w:val="231F20"/>
          <w:spacing w:val="39"/>
        </w:rPr>
        <w:t> </w:t>
      </w:r>
      <w:r>
        <w:rPr>
          <w:color w:val="231F20"/>
        </w:rPr>
        <w:t>on</w:t>
      </w:r>
      <w:r>
        <w:rPr>
          <w:color w:val="231F20"/>
          <w:spacing w:val="39"/>
        </w:rPr>
        <w:t> </w:t>
      </w:r>
      <w:r>
        <w:rPr>
          <w:color w:val="231F20"/>
        </w:rPr>
        <w:t>Wednesday,</w:t>
      </w:r>
      <w:r>
        <w:rPr>
          <w:color w:val="231F20"/>
          <w:spacing w:val="39"/>
        </w:rPr>
        <w:t> </w:t>
      </w:r>
      <w:r>
        <w:rPr>
          <w:color w:val="231F20"/>
        </w:rPr>
        <w:t>September</w:t>
      </w:r>
      <w:r>
        <w:rPr>
          <w:color w:val="231F20"/>
          <w:spacing w:val="39"/>
        </w:rPr>
        <w:t> </w:t>
      </w:r>
      <w:r>
        <w:rPr>
          <w:color w:val="231F20"/>
        </w:rPr>
        <w:t>3,</w:t>
      </w:r>
      <w:r>
        <w:rPr>
          <w:color w:val="231F20"/>
          <w:spacing w:val="39"/>
        </w:rPr>
        <w:t> </w:t>
      </w:r>
      <w:r>
        <w:rPr>
          <w:color w:val="231F20"/>
        </w:rPr>
        <w:t>2025.</w:t>
      </w:r>
      <w:r>
        <w:rPr>
          <w:color w:val="231F20"/>
          <w:spacing w:val="39"/>
        </w:rPr>
        <w:t> </w:t>
      </w:r>
      <w:r>
        <w:rPr>
          <w:color w:val="231F20"/>
        </w:rPr>
        <w:t>For</w:t>
      </w:r>
      <w:r>
        <w:rPr>
          <w:color w:val="231F20"/>
          <w:spacing w:val="39"/>
        </w:rPr>
        <w:t> </w:t>
      </w:r>
      <w:r>
        <w:rPr>
          <w:color w:val="231F20"/>
        </w:rPr>
        <w:t>the</w:t>
      </w:r>
      <w:r>
        <w:rPr>
          <w:color w:val="231F20"/>
          <w:spacing w:val="39"/>
        </w:rPr>
        <w:t> </w:t>
      </w:r>
      <w:r>
        <w:rPr>
          <w:color w:val="231F20"/>
        </w:rPr>
        <w:t>notice</w:t>
      </w:r>
      <w:r>
        <w:rPr>
          <w:color w:val="231F20"/>
          <w:spacing w:val="39"/>
        </w:rPr>
        <w:t> </w:t>
      </w:r>
      <w:r>
        <w:rPr>
          <w:color w:val="231F20"/>
        </w:rPr>
        <w:t>of the 2025 Second EGM applicable to holders of A Shares and the relevant form of proxy, please refer to the announcement</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Company</w:t>
      </w:r>
      <w:r>
        <w:rPr>
          <w:color w:val="231F20"/>
          <w:spacing w:val="40"/>
        </w:rPr>
        <w:t> </w:t>
      </w:r>
      <w:r>
        <w:rPr>
          <w:color w:val="231F20"/>
        </w:rPr>
        <w:t>dated</w:t>
      </w:r>
      <w:r>
        <w:rPr>
          <w:color w:val="231F20"/>
          <w:spacing w:val="40"/>
        </w:rPr>
        <w:t> </w:t>
      </w:r>
      <w:r>
        <w:rPr>
          <w:color w:val="231F20"/>
        </w:rPr>
        <w:t>August</w:t>
      </w:r>
      <w:r>
        <w:rPr>
          <w:color w:val="231F20"/>
          <w:spacing w:val="40"/>
        </w:rPr>
        <w:t> </w:t>
      </w:r>
      <w:r>
        <w:rPr>
          <w:color w:val="231F20"/>
        </w:rPr>
        <w:t>21,</w:t>
      </w:r>
      <w:r>
        <w:rPr>
          <w:color w:val="231F20"/>
          <w:spacing w:val="40"/>
        </w:rPr>
        <w:t> </w:t>
      </w:r>
      <w:r>
        <w:rPr>
          <w:color w:val="231F20"/>
        </w:rPr>
        <w:t>2025</w:t>
      </w:r>
      <w:r>
        <w:rPr>
          <w:color w:val="231F20"/>
          <w:spacing w:val="40"/>
        </w:rPr>
        <w:t> </w:t>
      </w:r>
      <w:r>
        <w:rPr>
          <w:color w:val="231F20"/>
        </w:rPr>
        <w:t>published</w:t>
      </w:r>
      <w:r>
        <w:rPr>
          <w:color w:val="231F20"/>
          <w:spacing w:val="40"/>
        </w:rPr>
        <w:t> </w:t>
      </w:r>
      <w:r>
        <w:rPr>
          <w:color w:val="231F20"/>
        </w:rPr>
        <w:t>on</w:t>
      </w:r>
      <w:r>
        <w:rPr>
          <w:color w:val="231F20"/>
          <w:spacing w:val="40"/>
        </w:rPr>
        <w:t> </w:t>
      </w:r>
      <w:r>
        <w:rPr>
          <w:color w:val="231F20"/>
        </w:rPr>
        <w:t>the</w:t>
      </w:r>
      <w:r>
        <w:rPr>
          <w:color w:val="231F20"/>
          <w:spacing w:val="40"/>
        </w:rPr>
        <w:t> </w:t>
      </w:r>
      <w:r>
        <w:rPr>
          <w:color w:val="231F20"/>
        </w:rPr>
        <w:t>Shenzhen</w:t>
      </w:r>
      <w:r>
        <w:rPr>
          <w:color w:val="231F20"/>
          <w:spacing w:val="40"/>
        </w:rPr>
        <w:t> </w:t>
      </w:r>
      <w:r>
        <w:rPr>
          <w:color w:val="231F20"/>
        </w:rPr>
        <w:t>Stock</w:t>
      </w:r>
      <w:r>
        <w:rPr>
          <w:color w:val="231F20"/>
          <w:spacing w:val="40"/>
        </w:rPr>
        <w:t> </w:t>
      </w:r>
      <w:r>
        <w:rPr>
          <w:color w:val="231F20"/>
        </w:rPr>
        <w:t>Exchange.</w:t>
      </w:r>
    </w:p>
    <w:p>
      <w:pPr>
        <w:pStyle w:val="BodyText"/>
        <w:spacing w:after="0" w:line="280" w:lineRule="atLeast"/>
        <w:jc w:val="both"/>
        <w:sectPr>
          <w:pgSz w:w="11910" w:h="15880"/>
          <w:pgMar w:header="567" w:footer="573" w:top="1300" w:bottom="760" w:left="1275" w:right="1275"/>
        </w:sectPr>
      </w:pPr>
    </w:p>
    <w:p>
      <w:pPr>
        <w:pStyle w:val="Heading3"/>
        <w:numPr>
          <w:ilvl w:val="0"/>
          <w:numId w:val="4"/>
        </w:numPr>
        <w:tabs>
          <w:tab w:pos="709" w:val="left" w:leader="none"/>
        </w:tabs>
        <w:spacing w:line="240" w:lineRule="auto" w:before="91" w:after="0"/>
        <w:ind w:left="709" w:right="0" w:hanging="567"/>
        <w:jc w:val="left"/>
      </w:pPr>
      <w:r>
        <w:rPr>
          <w:color w:val="231F20"/>
        </w:rPr>
        <w:t>VOTING</w:t>
      </w:r>
      <w:r>
        <w:rPr>
          <w:color w:val="231F20"/>
          <w:spacing w:val="19"/>
        </w:rPr>
        <w:t> </w:t>
      </w:r>
      <w:r>
        <w:rPr>
          <w:color w:val="231F20"/>
        </w:rPr>
        <w:t>BY</w:t>
      </w:r>
      <w:r>
        <w:rPr>
          <w:color w:val="231F20"/>
          <w:spacing w:val="19"/>
        </w:rPr>
        <w:t> </w:t>
      </w:r>
      <w:r>
        <w:rPr>
          <w:color w:val="231F20"/>
        </w:rPr>
        <w:t>WAY</w:t>
      </w:r>
      <w:r>
        <w:rPr>
          <w:color w:val="231F20"/>
          <w:spacing w:val="20"/>
        </w:rPr>
        <w:t> </w:t>
      </w:r>
      <w:r>
        <w:rPr>
          <w:color w:val="231F20"/>
        </w:rPr>
        <w:t>OF</w:t>
      </w:r>
      <w:r>
        <w:rPr>
          <w:color w:val="231F20"/>
          <w:spacing w:val="19"/>
        </w:rPr>
        <w:t> </w:t>
      </w:r>
      <w:r>
        <w:rPr>
          <w:color w:val="231F20"/>
          <w:spacing w:val="-4"/>
        </w:rPr>
        <w:t>POLL</w:t>
      </w:r>
    </w:p>
    <w:p>
      <w:pPr>
        <w:pStyle w:val="BodyText"/>
        <w:spacing w:before="100"/>
        <w:rPr>
          <w:b/>
        </w:rPr>
      </w:pPr>
    </w:p>
    <w:p>
      <w:pPr>
        <w:pStyle w:val="BodyText"/>
        <w:spacing w:line="292" w:lineRule="auto"/>
        <w:ind w:left="142" w:right="133" w:firstLine="567"/>
        <w:jc w:val="both"/>
      </w:pPr>
      <w:r>
        <w:rPr>
          <w:color w:val="231F20"/>
        </w:rPr>
        <w:t>Pursuant to Rule 13.39(4) of the Listing Rules, any vote of Shareholders at the shareholders’ </w:t>
      </w:r>
      <w:r>
        <w:rPr>
          <w:color w:val="231F20"/>
        </w:rPr>
        <w:t>general meeting must be taken by poll except where the chairman, in good faith, decides to allow a resolution which relates purely to a procedural or administrative matter to be voted on by a show of hands. Poll results will be announced</w:t>
      </w:r>
      <w:r>
        <w:rPr>
          <w:color w:val="231F20"/>
          <w:spacing w:val="38"/>
        </w:rPr>
        <w:t> </w:t>
      </w:r>
      <w:r>
        <w:rPr>
          <w:color w:val="231F20"/>
        </w:rPr>
        <w:t>and</w:t>
      </w:r>
      <w:r>
        <w:rPr>
          <w:color w:val="231F20"/>
          <w:spacing w:val="38"/>
        </w:rPr>
        <w:t> </w:t>
      </w:r>
      <w:r>
        <w:rPr>
          <w:color w:val="231F20"/>
        </w:rPr>
        <w:t>published</w:t>
      </w:r>
      <w:r>
        <w:rPr>
          <w:color w:val="231F20"/>
          <w:spacing w:val="38"/>
        </w:rPr>
        <w:t> </w:t>
      </w:r>
      <w:r>
        <w:rPr>
          <w:color w:val="231F20"/>
        </w:rPr>
        <w:t>by</w:t>
      </w:r>
      <w:r>
        <w:rPr>
          <w:color w:val="231F20"/>
          <w:spacing w:val="38"/>
        </w:rPr>
        <w:t> </w:t>
      </w:r>
      <w:r>
        <w:rPr>
          <w:color w:val="231F20"/>
        </w:rPr>
        <w:t>the</w:t>
      </w:r>
      <w:r>
        <w:rPr>
          <w:color w:val="231F20"/>
          <w:spacing w:val="38"/>
        </w:rPr>
        <w:t> </w:t>
      </w:r>
      <w:r>
        <w:rPr>
          <w:color w:val="231F20"/>
        </w:rPr>
        <w:t>Company</w:t>
      </w:r>
      <w:r>
        <w:rPr>
          <w:color w:val="231F20"/>
          <w:spacing w:val="38"/>
        </w:rPr>
        <w:t> </w:t>
      </w:r>
      <w:r>
        <w:rPr>
          <w:color w:val="231F20"/>
        </w:rPr>
        <w:t>in</w:t>
      </w:r>
      <w:r>
        <w:rPr>
          <w:color w:val="231F20"/>
          <w:spacing w:val="38"/>
        </w:rPr>
        <w:t> </w:t>
      </w:r>
      <w:r>
        <w:rPr>
          <w:color w:val="231F20"/>
        </w:rPr>
        <w:t>accordance</w:t>
      </w:r>
      <w:r>
        <w:rPr>
          <w:color w:val="231F20"/>
          <w:spacing w:val="38"/>
        </w:rPr>
        <w:t> </w:t>
      </w:r>
      <w:r>
        <w:rPr>
          <w:color w:val="231F20"/>
        </w:rPr>
        <w:t>with</w:t>
      </w:r>
      <w:r>
        <w:rPr>
          <w:color w:val="231F20"/>
          <w:spacing w:val="38"/>
        </w:rPr>
        <w:t> </w:t>
      </w:r>
      <w:r>
        <w:rPr>
          <w:color w:val="231F20"/>
        </w:rPr>
        <w:t>Rule</w:t>
      </w:r>
      <w:r>
        <w:rPr>
          <w:color w:val="231F20"/>
          <w:spacing w:val="38"/>
        </w:rPr>
        <w:t> </w:t>
      </w:r>
      <w:r>
        <w:rPr>
          <w:color w:val="231F20"/>
        </w:rPr>
        <w:t>13.39(5)</w:t>
      </w:r>
      <w:r>
        <w:rPr>
          <w:color w:val="231F20"/>
          <w:spacing w:val="38"/>
        </w:rPr>
        <w:t> </w:t>
      </w:r>
      <w:r>
        <w:rPr>
          <w:color w:val="231F20"/>
        </w:rPr>
        <w:t>and</w:t>
      </w:r>
      <w:r>
        <w:rPr>
          <w:color w:val="231F20"/>
          <w:spacing w:val="38"/>
        </w:rPr>
        <w:t> </w:t>
      </w:r>
      <w:r>
        <w:rPr>
          <w:color w:val="231F20"/>
        </w:rPr>
        <w:t>13.39(5A)</w:t>
      </w:r>
      <w:r>
        <w:rPr>
          <w:color w:val="231F20"/>
          <w:spacing w:val="38"/>
        </w:rPr>
        <w:t> </w:t>
      </w:r>
      <w:r>
        <w:rPr>
          <w:color w:val="231F20"/>
        </w:rPr>
        <w:t>of</w:t>
      </w:r>
      <w:r>
        <w:rPr>
          <w:color w:val="231F20"/>
          <w:spacing w:val="38"/>
        </w:rPr>
        <w:t> </w:t>
      </w:r>
      <w:r>
        <w:rPr>
          <w:color w:val="231F20"/>
        </w:rPr>
        <w:t>the</w:t>
      </w:r>
      <w:r>
        <w:rPr>
          <w:color w:val="231F20"/>
          <w:spacing w:val="38"/>
        </w:rPr>
        <w:t> </w:t>
      </w:r>
      <w:r>
        <w:rPr>
          <w:color w:val="231F20"/>
        </w:rPr>
        <w:t>Listing Rules after the conclusion of the 2025 Second EGM. To the best of knowledge, information and belief of the Directors,</w:t>
      </w:r>
      <w:r>
        <w:rPr>
          <w:color w:val="231F20"/>
          <w:spacing w:val="37"/>
        </w:rPr>
        <w:t> </w:t>
      </w:r>
      <w:r>
        <w:rPr>
          <w:color w:val="231F20"/>
        </w:rPr>
        <w:t>no</w:t>
      </w:r>
      <w:r>
        <w:rPr>
          <w:color w:val="231F20"/>
          <w:spacing w:val="37"/>
        </w:rPr>
        <w:t> </w:t>
      </w:r>
      <w:r>
        <w:rPr>
          <w:color w:val="231F20"/>
        </w:rPr>
        <w:t>Shareholder</w:t>
      </w:r>
      <w:r>
        <w:rPr>
          <w:color w:val="231F20"/>
          <w:spacing w:val="37"/>
        </w:rPr>
        <w:t> </w:t>
      </w:r>
      <w:r>
        <w:rPr>
          <w:color w:val="231F20"/>
        </w:rPr>
        <w:t>was</w:t>
      </w:r>
      <w:r>
        <w:rPr>
          <w:color w:val="231F20"/>
          <w:spacing w:val="37"/>
        </w:rPr>
        <w:t> </w:t>
      </w:r>
      <w:r>
        <w:rPr>
          <w:color w:val="231F20"/>
        </w:rPr>
        <w:t>required</w:t>
      </w:r>
      <w:r>
        <w:rPr>
          <w:color w:val="231F20"/>
          <w:spacing w:val="37"/>
        </w:rPr>
        <w:t> </w:t>
      </w:r>
      <w:r>
        <w:rPr>
          <w:color w:val="231F20"/>
        </w:rPr>
        <w:t>to</w:t>
      </w:r>
      <w:r>
        <w:rPr>
          <w:color w:val="231F20"/>
          <w:spacing w:val="37"/>
        </w:rPr>
        <w:t> </w:t>
      </w:r>
      <w:r>
        <w:rPr>
          <w:color w:val="231F20"/>
        </w:rPr>
        <w:t>abstain</w:t>
      </w:r>
      <w:r>
        <w:rPr>
          <w:color w:val="231F20"/>
          <w:spacing w:val="37"/>
        </w:rPr>
        <w:t> </w:t>
      </w:r>
      <w:r>
        <w:rPr>
          <w:color w:val="231F20"/>
        </w:rPr>
        <w:t>from</w:t>
      </w:r>
      <w:r>
        <w:rPr>
          <w:color w:val="231F20"/>
          <w:spacing w:val="37"/>
        </w:rPr>
        <w:t> </w:t>
      </w:r>
      <w:r>
        <w:rPr>
          <w:color w:val="231F20"/>
        </w:rPr>
        <w:t>voting</w:t>
      </w:r>
      <w:r>
        <w:rPr>
          <w:color w:val="231F20"/>
          <w:spacing w:val="37"/>
        </w:rPr>
        <w:t> </w:t>
      </w:r>
      <w:r>
        <w:rPr>
          <w:color w:val="231F20"/>
        </w:rPr>
        <w:t>at</w:t>
      </w:r>
      <w:r>
        <w:rPr>
          <w:color w:val="231F20"/>
          <w:spacing w:val="37"/>
        </w:rPr>
        <w:t> </w:t>
      </w:r>
      <w:r>
        <w:rPr>
          <w:color w:val="231F20"/>
        </w:rPr>
        <w:t>the</w:t>
      </w:r>
      <w:r>
        <w:rPr>
          <w:color w:val="231F20"/>
          <w:spacing w:val="37"/>
        </w:rPr>
        <w:t> </w:t>
      </w:r>
      <w:r>
        <w:rPr>
          <w:color w:val="231F20"/>
        </w:rPr>
        <w:t>2025</w:t>
      </w:r>
      <w:r>
        <w:rPr>
          <w:color w:val="231F20"/>
          <w:spacing w:val="37"/>
        </w:rPr>
        <w:t> </w:t>
      </w:r>
      <w:r>
        <w:rPr>
          <w:color w:val="231F20"/>
        </w:rPr>
        <w:t>Second</w:t>
      </w:r>
      <w:r>
        <w:rPr>
          <w:color w:val="231F20"/>
          <w:spacing w:val="37"/>
        </w:rPr>
        <w:t> </w:t>
      </w:r>
      <w:r>
        <w:rPr>
          <w:color w:val="231F20"/>
        </w:rPr>
        <w:t>EGM</w:t>
      </w:r>
      <w:r>
        <w:rPr>
          <w:color w:val="231F20"/>
          <w:spacing w:val="37"/>
        </w:rPr>
        <w:t> </w:t>
      </w:r>
      <w:r>
        <w:rPr>
          <w:color w:val="231F20"/>
        </w:rPr>
        <w:t>under</w:t>
      </w:r>
      <w:r>
        <w:rPr>
          <w:color w:val="231F20"/>
          <w:spacing w:val="37"/>
        </w:rPr>
        <w:t> </w:t>
      </w:r>
      <w:r>
        <w:rPr>
          <w:color w:val="231F20"/>
        </w:rPr>
        <w:t>the</w:t>
      </w:r>
      <w:r>
        <w:rPr>
          <w:color w:val="231F20"/>
          <w:spacing w:val="37"/>
        </w:rPr>
        <w:t> </w:t>
      </w:r>
      <w:r>
        <w:rPr>
          <w:color w:val="231F20"/>
        </w:rPr>
        <w:t>Listing </w:t>
      </w:r>
      <w:r>
        <w:rPr>
          <w:color w:val="231F20"/>
          <w:spacing w:val="-2"/>
        </w:rPr>
        <w:t>Rules.</w:t>
      </w:r>
    </w:p>
    <w:p>
      <w:pPr>
        <w:pStyle w:val="BodyText"/>
        <w:spacing w:before="46"/>
      </w:pPr>
    </w:p>
    <w:p>
      <w:pPr>
        <w:pStyle w:val="Heading3"/>
        <w:numPr>
          <w:ilvl w:val="0"/>
          <w:numId w:val="4"/>
        </w:numPr>
        <w:tabs>
          <w:tab w:pos="709" w:val="left" w:leader="none"/>
        </w:tabs>
        <w:spacing w:line="240" w:lineRule="auto" w:before="0" w:after="0"/>
        <w:ind w:left="709" w:right="0" w:hanging="567"/>
        <w:jc w:val="left"/>
      </w:pPr>
      <w:r>
        <w:rPr>
          <w:color w:val="231F20"/>
          <w:spacing w:val="-2"/>
        </w:rPr>
        <w:t>RECOMMENDATIONS</w:t>
      </w:r>
    </w:p>
    <w:p>
      <w:pPr>
        <w:pStyle w:val="BodyText"/>
        <w:spacing w:before="100"/>
        <w:rPr>
          <w:b/>
        </w:rPr>
      </w:pPr>
    </w:p>
    <w:p>
      <w:pPr>
        <w:pStyle w:val="BodyText"/>
        <w:spacing w:line="292" w:lineRule="auto"/>
        <w:ind w:left="142" w:right="129" w:firstLine="567"/>
        <w:jc w:val="both"/>
      </w:pPr>
      <w:r>
        <w:rPr>
          <w:color w:val="231F20"/>
        </w:rPr>
        <w:t>The Board believes that the resolutions set out in the notice of the 2025 Second EGM are in the interests of</w:t>
      </w:r>
      <w:r>
        <w:rPr>
          <w:color w:val="231F20"/>
          <w:spacing w:val="39"/>
        </w:rPr>
        <w:t> </w:t>
      </w:r>
      <w:r>
        <w:rPr>
          <w:color w:val="231F20"/>
        </w:rPr>
        <w:t>the</w:t>
      </w:r>
      <w:r>
        <w:rPr>
          <w:color w:val="231F20"/>
          <w:spacing w:val="39"/>
        </w:rPr>
        <w:t> </w:t>
      </w:r>
      <w:r>
        <w:rPr>
          <w:color w:val="231F20"/>
        </w:rPr>
        <w:t>Company</w:t>
      </w:r>
      <w:r>
        <w:rPr>
          <w:color w:val="231F20"/>
          <w:spacing w:val="39"/>
        </w:rPr>
        <w:t> </w:t>
      </w:r>
      <w:r>
        <w:rPr>
          <w:color w:val="231F20"/>
        </w:rPr>
        <w:t>and</w:t>
      </w:r>
      <w:r>
        <w:rPr>
          <w:color w:val="231F20"/>
          <w:spacing w:val="39"/>
        </w:rPr>
        <w:t> </w:t>
      </w:r>
      <w:r>
        <w:rPr>
          <w:color w:val="231F20"/>
        </w:rPr>
        <w:t>its</w:t>
      </w:r>
      <w:r>
        <w:rPr>
          <w:color w:val="231F20"/>
          <w:spacing w:val="39"/>
        </w:rPr>
        <w:t> </w:t>
      </w:r>
      <w:r>
        <w:rPr>
          <w:color w:val="231F20"/>
        </w:rPr>
        <w:t>Shareholders</w:t>
      </w:r>
      <w:r>
        <w:rPr>
          <w:color w:val="231F20"/>
          <w:spacing w:val="39"/>
        </w:rPr>
        <w:t> </w:t>
      </w:r>
      <w:r>
        <w:rPr>
          <w:color w:val="231F20"/>
        </w:rPr>
        <w:t>as</w:t>
      </w:r>
      <w:r>
        <w:rPr>
          <w:color w:val="231F20"/>
          <w:spacing w:val="39"/>
        </w:rPr>
        <w:t> </w:t>
      </w:r>
      <w:r>
        <w:rPr>
          <w:color w:val="231F20"/>
        </w:rPr>
        <w:t>a</w:t>
      </w:r>
      <w:r>
        <w:rPr>
          <w:color w:val="231F20"/>
          <w:spacing w:val="39"/>
        </w:rPr>
        <w:t> </w:t>
      </w:r>
      <w:r>
        <w:rPr>
          <w:color w:val="231F20"/>
        </w:rPr>
        <w:t>whole.</w:t>
      </w:r>
      <w:r>
        <w:rPr>
          <w:color w:val="231F20"/>
          <w:spacing w:val="39"/>
        </w:rPr>
        <w:t> </w:t>
      </w:r>
      <w:r>
        <w:rPr>
          <w:color w:val="231F20"/>
        </w:rPr>
        <w:t>Accordingly,</w:t>
      </w:r>
      <w:r>
        <w:rPr>
          <w:color w:val="231F20"/>
          <w:spacing w:val="39"/>
        </w:rPr>
        <w:t> </w:t>
      </w:r>
      <w:r>
        <w:rPr>
          <w:color w:val="231F20"/>
        </w:rPr>
        <w:t>the</w:t>
      </w:r>
      <w:r>
        <w:rPr>
          <w:color w:val="231F20"/>
          <w:spacing w:val="39"/>
        </w:rPr>
        <w:t> </w:t>
      </w:r>
      <w:r>
        <w:rPr>
          <w:color w:val="231F20"/>
        </w:rPr>
        <w:t>Board</w:t>
      </w:r>
      <w:r>
        <w:rPr>
          <w:color w:val="231F20"/>
          <w:spacing w:val="39"/>
        </w:rPr>
        <w:t> </w:t>
      </w:r>
      <w:r>
        <w:rPr>
          <w:color w:val="231F20"/>
        </w:rPr>
        <w:t>recommends</w:t>
      </w:r>
      <w:r>
        <w:rPr>
          <w:color w:val="231F20"/>
          <w:spacing w:val="39"/>
        </w:rPr>
        <w:t> </w:t>
      </w:r>
      <w:r>
        <w:rPr>
          <w:color w:val="231F20"/>
        </w:rPr>
        <w:t>all</w:t>
      </w:r>
      <w:r>
        <w:rPr>
          <w:color w:val="231F20"/>
          <w:spacing w:val="39"/>
        </w:rPr>
        <w:t> </w:t>
      </w:r>
      <w:r>
        <w:rPr>
          <w:color w:val="231F20"/>
        </w:rPr>
        <w:t>Shareholders</w:t>
      </w:r>
      <w:r>
        <w:rPr>
          <w:color w:val="231F20"/>
          <w:spacing w:val="39"/>
        </w:rPr>
        <w:t> </w:t>
      </w:r>
      <w:r>
        <w:rPr>
          <w:color w:val="231F20"/>
        </w:rPr>
        <w:t>to vote</w:t>
      </w:r>
      <w:r>
        <w:rPr>
          <w:color w:val="231F20"/>
          <w:spacing w:val="29"/>
        </w:rPr>
        <w:t> </w:t>
      </w:r>
      <w:r>
        <w:rPr>
          <w:color w:val="231F20"/>
        </w:rPr>
        <w:t>in</w:t>
      </w:r>
      <w:r>
        <w:rPr>
          <w:color w:val="231F20"/>
          <w:spacing w:val="29"/>
        </w:rPr>
        <w:t> </w:t>
      </w:r>
      <w:r>
        <w:rPr>
          <w:color w:val="231F20"/>
        </w:rPr>
        <w:t>favour</w:t>
      </w:r>
      <w:r>
        <w:rPr>
          <w:color w:val="231F20"/>
          <w:spacing w:val="29"/>
        </w:rPr>
        <w:t> </w:t>
      </w:r>
      <w:r>
        <w:rPr>
          <w:color w:val="231F20"/>
        </w:rPr>
        <w:t>of</w:t>
      </w:r>
      <w:r>
        <w:rPr>
          <w:color w:val="231F20"/>
          <w:spacing w:val="29"/>
        </w:rPr>
        <w:t> </w:t>
      </w:r>
      <w:r>
        <w:rPr>
          <w:color w:val="231F20"/>
        </w:rPr>
        <w:t>the</w:t>
      </w:r>
      <w:r>
        <w:rPr>
          <w:color w:val="231F20"/>
          <w:spacing w:val="29"/>
        </w:rPr>
        <w:t> </w:t>
      </w:r>
      <w:r>
        <w:rPr>
          <w:color w:val="231F20"/>
        </w:rPr>
        <w:t>relevant</w:t>
      </w:r>
      <w:r>
        <w:rPr>
          <w:color w:val="231F20"/>
          <w:spacing w:val="29"/>
        </w:rPr>
        <w:t> </w:t>
      </w:r>
      <w:r>
        <w:rPr>
          <w:color w:val="231F20"/>
        </w:rPr>
        <w:t>resolutions</w:t>
      </w:r>
      <w:r>
        <w:rPr>
          <w:color w:val="231F20"/>
          <w:spacing w:val="29"/>
        </w:rPr>
        <w:t> </w:t>
      </w:r>
      <w:r>
        <w:rPr>
          <w:color w:val="231F20"/>
        </w:rPr>
        <w:t>to</w:t>
      </w:r>
      <w:r>
        <w:rPr>
          <w:color w:val="231F20"/>
          <w:spacing w:val="29"/>
        </w:rPr>
        <w:t> </w:t>
      </w:r>
      <w:r>
        <w:rPr>
          <w:color w:val="231F20"/>
        </w:rPr>
        <w:t>be</w:t>
      </w:r>
      <w:r>
        <w:rPr>
          <w:color w:val="231F20"/>
          <w:spacing w:val="29"/>
        </w:rPr>
        <w:t> </w:t>
      </w:r>
      <w:r>
        <w:rPr>
          <w:color w:val="231F20"/>
        </w:rPr>
        <w:t>proposed</w:t>
      </w:r>
      <w:r>
        <w:rPr>
          <w:color w:val="231F20"/>
          <w:spacing w:val="29"/>
        </w:rPr>
        <w:t> </w:t>
      </w:r>
      <w:r>
        <w:rPr>
          <w:color w:val="231F20"/>
        </w:rPr>
        <w:t>as</w:t>
      </w:r>
      <w:r>
        <w:rPr>
          <w:color w:val="231F20"/>
          <w:spacing w:val="29"/>
        </w:rPr>
        <w:t> </w:t>
      </w:r>
      <w:r>
        <w:rPr>
          <w:color w:val="231F20"/>
        </w:rPr>
        <w:t>set</w:t>
      </w:r>
      <w:r>
        <w:rPr>
          <w:color w:val="231F20"/>
          <w:spacing w:val="29"/>
        </w:rPr>
        <w:t> </w:t>
      </w:r>
      <w:r>
        <w:rPr>
          <w:color w:val="231F20"/>
        </w:rPr>
        <w:t>out</w:t>
      </w:r>
      <w:r>
        <w:rPr>
          <w:color w:val="231F20"/>
          <w:spacing w:val="29"/>
        </w:rPr>
        <w:t> </w:t>
      </w:r>
      <w:r>
        <w:rPr>
          <w:color w:val="231F20"/>
        </w:rPr>
        <w:t>in</w:t>
      </w:r>
      <w:r>
        <w:rPr>
          <w:color w:val="231F20"/>
          <w:spacing w:val="29"/>
        </w:rPr>
        <w:t> </w:t>
      </w:r>
      <w:r>
        <w:rPr>
          <w:color w:val="231F20"/>
        </w:rPr>
        <w:t>the</w:t>
      </w:r>
      <w:r>
        <w:rPr>
          <w:color w:val="231F20"/>
          <w:spacing w:val="29"/>
        </w:rPr>
        <w:t> </w:t>
      </w:r>
      <w:r>
        <w:rPr>
          <w:color w:val="231F20"/>
        </w:rPr>
        <w:t>notice</w:t>
      </w:r>
      <w:r>
        <w:rPr>
          <w:color w:val="231F20"/>
          <w:spacing w:val="29"/>
        </w:rPr>
        <w:t> </w:t>
      </w:r>
      <w:r>
        <w:rPr>
          <w:color w:val="231F20"/>
        </w:rPr>
        <w:t>of</w:t>
      </w:r>
      <w:r>
        <w:rPr>
          <w:color w:val="231F20"/>
          <w:spacing w:val="29"/>
        </w:rPr>
        <w:t> </w:t>
      </w:r>
      <w:r>
        <w:rPr>
          <w:color w:val="231F20"/>
        </w:rPr>
        <w:t>the</w:t>
      </w:r>
      <w:r>
        <w:rPr>
          <w:color w:val="231F20"/>
          <w:spacing w:val="29"/>
        </w:rPr>
        <w:t> </w:t>
      </w:r>
      <w:r>
        <w:rPr>
          <w:color w:val="231F20"/>
        </w:rPr>
        <w:t>2025</w:t>
      </w:r>
      <w:r>
        <w:rPr>
          <w:color w:val="231F20"/>
          <w:spacing w:val="29"/>
        </w:rPr>
        <w:t> </w:t>
      </w:r>
      <w:r>
        <w:rPr>
          <w:color w:val="231F20"/>
        </w:rPr>
        <w:t>Second</w:t>
      </w:r>
      <w:r>
        <w:rPr>
          <w:color w:val="231F20"/>
          <w:spacing w:val="29"/>
        </w:rPr>
        <w:t> </w:t>
      </w:r>
      <w:r>
        <w:rPr>
          <w:color w:val="231F20"/>
        </w:rPr>
        <w:t>EGM.</w:t>
      </w:r>
    </w:p>
    <w:p>
      <w:pPr>
        <w:pStyle w:val="BodyText"/>
        <w:spacing w:before="48"/>
      </w:pPr>
    </w:p>
    <w:p>
      <w:pPr>
        <w:pStyle w:val="Heading3"/>
        <w:numPr>
          <w:ilvl w:val="0"/>
          <w:numId w:val="4"/>
        </w:numPr>
        <w:tabs>
          <w:tab w:pos="709" w:val="left" w:leader="none"/>
        </w:tabs>
        <w:spacing w:line="240" w:lineRule="auto" w:before="1" w:after="0"/>
        <w:ind w:left="709" w:right="0" w:hanging="567"/>
        <w:jc w:val="left"/>
      </w:pPr>
      <w:r>
        <w:rPr>
          <w:color w:val="231F20"/>
        </w:rPr>
        <w:t>RESPONSIBILITY</w:t>
      </w:r>
      <w:r>
        <w:rPr>
          <w:color w:val="231F20"/>
          <w:spacing w:val="56"/>
        </w:rPr>
        <w:t> </w:t>
      </w:r>
      <w:r>
        <w:rPr>
          <w:color w:val="231F20"/>
          <w:spacing w:val="-2"/>
        </w:rPr>
        <w:t>STATEMENT</w:t>
      </w:r>
    </w:p>
    <w:p>
      <w:pPr>
        <w:pStyle w:val="BodyText"/>
        <w:spacing w:before="99"/>
        <w:rPr>
          <w:b/>
        </w:rPr>
      </w:pPr>
    </w:p>
    <w:p>
      <w:pPr>
        <w:pStyle w:val="BodyText"/>
        <w:spacing w:line="292" w:lineRule="auto" w:before="1"/>
        <w:ind w:left="142" w:right="129" w:firstLine="567"/>
        <w:jc w:val="both"/>
      </w:pPr>
      <w:r>
        <w:rPr>
          <w:color w:val="231F20"/>
        </w:rPr>
        <w:t>This circular, for which the Directors collectively and individually accept full responsibility, </w:t>
      </w:r>
      <w:r>
        <w:rPr>
          <w:color w:val="231F20"/>
        </w:rPr>
        <w:t>includes particulars given in compliance with the Listing Rules for the purpose of giving information with regard to the Company.</w:t>
      </w:r>
      <w:r>
        <w:rPr>
          <w:color w:val="231F20"/>
          <w:spacing w:val="32"/>
        </w:rPr>
        <w:t> </w:t>
      </w:r>
      <w:r>
        <w:rPr>
          <w:color w:val="231F20"/>
        </w:rPr>
        <w:t>The</w:t>
      </w:r>
      <w:r>
        <w:rPr>
          <w:color w:val="231F20"/>
          <w:spacing w:val="32"/>
        </w:rPr>
        <w:t> </w:t>
      </w:r>
      <w:r>
        <w:rPr>
          <w:color w:val="231F20"/>
        </w:rPr>
        <w:t>Directors,</w:t>
      </w:r>
      <w:r>
        <w:rPr>
          <w:color w:val="231F20"/>
          <w:spacing w:val="32"/>
        </w:rPr>
        <w:t> </w:t>
      </w:r>
      <w:r>
        <w:rPr>
          <w:color w:val="231F20"/>
        </w:rPr>
        <w:t>having</w:t>
      </w:r>
      <w:r>
        <w:rPr>
          <w:color w:val="231F20"/>
          <w:spacing w:val="32"/>
        </w:rPr>
        <w:t> </w:t>
      </w:r>
      <w:r>
        <w:rPr>
          <w:color w:val="231F20"/>
        </w:rPr>
        <w:t>made</w:t>
      </w:r>
      <w:r>
        <w:rPr>
          <w:color w:val="231F20"/>
          <w:spacing w:val="32"/>
        </w:rPr>
        <w:t> </w:t>
      </w:r>
      <w:r>
        <w:rPr>
          <w:color w:val="231F20"/>
        </w:rPr>
        <w:t>all</w:t>
      </w:r>
      <w:r>
        <w:rPr>
          <w:color w:val="231F20"/>
          <w:spacing w:val="32"/>
        </w:rPr>
        <w:t> </w:t>
      </w:r>
      <w:r>
        <w:rPr>
          <w:color w:val="231F20"/>
        </w:rPr>
        <w:t>reasonable</w:t>
      </w:r>
      <w:r>
        <w:rPr>
          <w:color w:val="231F20"/>
          <w:spacing w:val="32"/>
        </w:rPr>
        <w:t> </w:t>
      </w:r>
      <w:r>
        <w:rPr>
          <w:color w:val="231F20"/>
        </w:rPr>
        <w:t>enquiries,</w:t>
      </w:r>
      <w:r>
        <w:rPr>
          <w:color w:val="231F20"/>
          <w:spacing w:val="32"/>
        </w:rPr>
        <w:t> </w:t>
      </w:r>
      <w:r>
        <w:rPr>
          <w:color w:val="231F20"/>
        </w:rPr>
        <w:t>confirm</w:t>
      </w:r>
      <w:r>
        <w:rPr>
          <w:color w:val="231F20"/>
          <w:spacing w:val="32"/>
        </w:rPr>
        <w:t> </w:t>
      </w:r>
      <w:r>
        <w:rPr>
          <w:color w:val="231F20"/>
        </w:rPr>
        <w:t>that</w:t>
      </w:r>
      <w:r>
        <w:rPr>
          <w:color w:val="231F20"/>
          <w:spacing w:val="32"/>
        </w:rPr>
        <w:t> </w:t>
      </w:r>
      <w:r>
        <w:rPr>
          <w:color w:val="231F20"/>
        </w:rPr>
        <w:t>to</w:t>
      </w:r>
      <w:r>
        <w:rPr>
          <w:color w:val="231F20"/>
          <w:spacing w:val="32"/>
        </w:rPr>
        <w:t> </w:t>
      </w:r>
      <w:r>
        <w:rPr>
          <w:color w:val="231F20"/>
        </w:rPr>
        <w:t>the</w:t>
      </w:r>
      <w:r>
        <w:rPr>
          <w:color w:val="231F20"/>
          <w:spacing w:val="32"/>
        </w:rPr>
        <w:t> </w:t>
      </w:r>
      <w:r>
        <w:rPr>
          <w:color w:val="231F20"/>
        </w:rPr>
        <w:t>best</w:t>
      </w:r>
      <w:r>
        <w:rPr>
          <w:color w:val="231F20"/>
          <w:spacing w:val="32"/>
        </w:rPr>
        <w:t> </w:t>
      </w:r>
      <w:r>
        <w:rPr>
          <w:color w:val="231F20"/>
        </w:rPr>
        <w:t>of</w:t>
      </w:r>
      <w:r>
        <w:rPr>
          <w:color w:val="231F20"/>
          <w:spacing w:val="32"/>
        </w:rPr>
        <w:t> </w:t>
      </w:r>
      <w:r>
        <w:rPr>
          <w:color w:val="231F20"/>
        </w:rPr>
        <w:t>their</w:t>
      </w:r>
      <w:r>
        <w:rPr>
          <w:color w:val="231F20"/>
          <w:spacing w:val="32"/>
        </w:rPr>
        <w:t> </w:t>
      </w:r>
      <w:r>
        <w:rPr>
          <w:color w:val="231F20"/>
        </w:rPr>
        <w:t>knowledge and belief the information contained in this circular is accurate and complete in all material respects and not misleading</w:t>
      </w:r>
      <w:r>
        <w:rPr>
          <w:color w:val="231F20"/>
          <w:spacing w:val="40"/>
        </w:rPr>
        <w:t> </w:t>
      </w:r>
      <w:r>
        <w:rPr>
          <w:color w:val="231F20"/>
        </w:rPr>
        <w:t>or</w:t>
      </w:r>
      <w:r>
        <w:rPr>
          <w:color w:val="231F20"/>
          <w:spacing w:val="40"/>
        </w:rPr>
        <w:t> </w:t>
      </w:r>
      <w:r>
        <w:rPr>
          <w:color w:val="231F20"/>
        </w:rPr>
        <w:t>deceptive,</w:t>
      </w:r>
      <w:r>
        <w:rPr>
          <w:color w:val="231F20"/>
          <w:spacing w:val="40"/>
        </w:rPr>
        <w:t> </w:t>
      </w:r>
      <w:r>
        <w:rPr>
          <w:color w:val="231F20"/>
        </w:rPr>
        <w:t>and</w:t>
      </w:r>
      <w:r>
        <w:rPr>
          <w:color w:val="231F20"/>
          <w:spacing w:val="40"/>
        </w:rPr>
        <w:t> </w:t>
      </w:r>
      <w:r>
        <w:rPr>
          <w:color w:val="231F20"/>
        </w:rPr>
        <w:t>there</w:t>
      </w:r>
      <w:r>
        <w:rPr>
          <w:color w:val="231F20"/>
          <w:spacing w:val="40"/>
        </w:rPr>
        <w:t> </w:t>
      </w:r>
      <w:r>
        <w:rPr>
          <w:color w:val="231F20"/>
        </w:rPr>
        <w:t>are</w:t>
      </w:r>
      <w:r>
        <w:rPr>
          <w:color w:val="231F20"/>
          <w:spacing w:val="40"/>
        </w:rPr>
        <w:t> </w:t>
      </w:r>
      <w:r>
        <w:rPr>
          <w:color w:val="231F20"/>
        </w:rPr>
        <w:t>no</w:t>
      </w:r>
      <w:r>
        <w:rPr>
          <w:color w:val="231F20"/>
          <w:spacing w:val="40"/>
        </w:rPr>
        <w:t> </w:t>
      </w:r>
      <w:r>
        <w:rPr>
          <w:color w:val="231F20"/>
        </w:rPr>
        <w:t>other</w:t>
      </w:r>
      <w:r>
        <w:rPr>
          <w:color w:val="231F20"/>
          <w:spacing w:val="40"/>
        </w:rPr>
        <w:t> </w:t>
      </w:r>
      <w:r>
        <w:rPr>
          <w:color w:val="231F20"/>
        </w:rPr>
        <w:t>matters</w:t>
      </w:r>
      <w:r>
        <w:rPr>
          <w:color w:val="231F20"/>
          <w:spacing w:val="40"/>
        </w:rPr>
        <w:t> </w:t>
      </w:r>
      <w:r>
        <w:rPr>
          <w:color w:val="231F20"/>
        </w:rPr>
        <w:t>the</w:t>
      </w:r>
      <w:r>
        <w:rPr>
          <w:color w:val="231F20"/>
          <w:spacing w:val="40"/>
        </w:rPr>
        <w:t> </w:t>
      </w:r>
      <w:r>
        <w:rPr>
          <w:color w:val="231F20"/>
        </w:rPr>
        <w:t>omission</w:t>
      </w:r>
      <w:r>
        <w:rPr>
          <w:color w:val="231F20"/>
          <w:spacing w:val="40"/>
        </w:rPr>
        <w:t> </w:t>
      </w:r>
      <w:r>
        <w:rPr>
          <w:color w:val="231F20"/>
        </w:rPr>
        <w:t>of</w:t>
      </w:r>
      <w:r>
        <w:rPr>
          <w:color w:val="231F20"/>
          <w:spacing w:val="40"/>
        </w:rPr>
        <w:t> </w:t>
      </w:r>
      <w:r>
        <w:rPr>
          <w:color w:val="231F20"/>
        </w:rPr>
        <w:t>which</w:t>
      </w:r>
      <w:r>
        <w:rPr>
          <w:color w:val="231F20"/>
          <w:spacing w:val="40"/>
        </w:rPr>
        <w:t> </w:t>
      </w:r>
      <w:r>
        <w:rPr>
          <w:color w:val="231F20"/>
        </w:rPr>
        <w:t>would</w:t>
      </w:r>
      <w:r>
        <w:rPr>
          <w:color w:val="231F20"/>
          <w:spacing w:val="40"/>
        </w:rPr>
        <w:t> </w:t>
      </w:r>
      <w:r>
        <w:rPr>
          <w:color w:val="231F20"/>
        </w:rPr>
        <w:t>make</w:t>
      </w:r>
      <w:r>
        <w:rPr>
          <w:color w:val="231F20"/>
          <w:spacing w:val="40"/>
        </w:rPr>
        <w:t> </w:t>
      </w:r>
      <w:r>
        <w:rPr>
          <w:color w:val="231F20"/>
        </w:rPr>
        <w:t>any</w:t>
      </w:r>
      <w:r>
        <w:rPr>
          <w:color w:val="231F20"/>
          <w:spacing w:val="40"/>
        </w:rPr>
        <w:t> </w:t>
      </w:r>
      <w:r>
        <w:rPr>
          <w:color w:val="231F20"/>
        </w:rPr>
        <w:t>statement herein or this circular misleading.</w:t>
      </w:r>
    </w:p>
    <w:p>
      <w:pPr>
        <w:pStyle w:val="BodyText"/>
        <w:spacing w:before="46"/>
      </w:pPr>
    </w:p>
    <w:p>
      <w:pPr>
        <w:pStyle w:val="BodyText"/>
        <w:ind w:left="709"/>
      </w:pPr>
      <w:r>
        <w:rPr>
          <w:color w:val="231F20"/>
        </w:rPr>
        <w:t>Your</w:t>
      </w:r>
      <w:r>
        <w:rPr>
          <w:color w:val="231F20"/>
          <w:spacing w:val="25"/>
        </w:rPr>
        <w:t> </w:t>
      </w:r>
      <w:r>
        <w:rPr>
          <w:color w:val="231F20"/>
        </w:rPr>
        <w:t>attention</w:t>
      </w:r>
      <w:r>
        <w:rPr>
          <w:color w:val="231F20"/>
          <w:spacing w:val="27"/>
        </w:rPr>
        <w:t> </w:t>
      </w:r>
      <w:r>
        <w:rPr>
          <w:color w:val="231F20"/>
        </w:rPr>
        <w:t>is</w:t>
      </w:r>
      <w:r>
        <w:rPr>
          <w:color w:val="231F20"/>
          <w:spacing w:val="26"/>
        </w:rPr>
        <w:t> </w:t>
      </w:r>
      <w:r>
        <w:rPr>
          <w:color w:val="231F20"/>
        </w:rPr>
        <w:t>drawn</w:t>
      </w:r>
      <w:r>
        <w:rPr>
          <w:color w:val="231F20"/>
          <w:spacing w:val="27"/>
        </w:rPr>
        <w:t> </w:t>
      </w:r>
      <w:r>
        <w:rPr>
          <w:color w:val="231F20"/>
        </w:rPr>
        <w:t>to</w:t>
      </w:r>
      <w:r>
        <w:rPr>
          <w:color w:val="231F20"/>
          <w:spacing w:val="26"/>
        </w:rPr>
        <w:t> </w:t>
      </w:r>
      <w:r>
        <w:rPr>
          <w:color w:val="231F20"/>
        </w:rPr>
        <w:t>the</w:t>
      </w:r>
      <w:r>
        <w:rPr>
          <w:color w:val="231F20"/>
          <w:spacing w:val="27"/>
        </w:rPr>
        <w:t> </w:t>
      </w:r>
      <w:r>
        <w:rPr>
          <w:color w:val="231F20"/>
        </w:rPr>
        <w:t>information</w:t>
      </w:r>
      <w:r>
        <w:rPr>
          <w:color w:val="231F20"/>
          <w:spacing w:val="26"/>
        </w:rPr>
        <w:t> </w:t>
      </w:r>
      <w:r>
        <w:rPr>
          <w:color w:val="231F20"/>
        </w:rPr>
        <w:t>set</w:t>
      </w:r>
      <w:r>
        <w:rPr>
          <w:color w:val="231F20"/>
          <w:spacing w:val="27"/>
        </w:rPr>
        <w:t> </w:t>
      </w:r>
      <w:r>
        <w:rPr>
          <w:color w:val="231F20"/>
        </w:rPr>
        <w:t>out</w:t>
      </w:r>
      <w:r>
        <w:rPr>
          <w:color w:val="231F20"/>
          <w:spacing w:val="26"/>
        </w:rPr>
        <w:t> </w:t>
      </w:r>
      <w:r>
        <w:rPr>
          <w:color w:val="231F20"/>
        </w:rPr>
        <w:t>in</w:t>
      </w:r>
      <w:r>
        <w:rPr>
          <w:color w:val="231F20"/>
          <w:spacing w:val="27"/>
        </w:rPr>
        <w:t> </w:t>
      </w:r>
      <w:r>
        <w:rPr>
          <w:color w:val="231F20"/>
        </w:rPr>
        <w:t>the</w:t>
      </w:r>
      <w:r>
        <w:rPr>
          <w:color w:val="231F20"/>
          <w:spacing w:val="26"/>
        </w:rPr>
        <w:t> </w:t>
      </w:r>
      <w:r>
        <w:rPr>
          <w:color w:val="231F20"/>
        </w:rPr>
        <w:t>appendix</w:t>
      </w:r>
      <w:r>
        <w:rPr>
          <w:color w:val="231F20"/>
          <w:spacing w:val="27"/>
        </w:rPr>
        <w:t> </w:t>
      </w:r>
      <w:r>
        <w:rPr>
          <w:color w:val="231F20"/>
        </w:rPr>
        <w:t>to</w:t>
      </w:r>
      <w:r>
        <w:rPr>
          <w:color w:val="231F20"/>
          <w:spacing w:val="26"/>
        </w:rPr>
        <w:t> </w:t>
      </w:r>
      <w:r>
        <w:rPr>
          <w:color w:val="231F20"/>
        </w:rPr>
        <w:t>this</w:t>
      </w:r>
      <w:r>
        <w:rPr>
          <w:color w:val="231F20"/>
          <w:spacing w:val="27"/>
        </w:rPr>
        <w:t> </w:t>
      </w:r>
      <w:r>
        <w:rPr>
          <w:color w:val="231F20"/>
          <w:spacing w:val="-2"/>
        </w:rPr>
        <w:t>circular.</w:t>
      </w:r>
    </w:p>
    <w:p>
      <w:pPr>
        <w:pStyle w:val="BodyText"/>
        <w:spacing w:before="100"/>
      </w:pPr>
    </w:p>
    <w:p>
      <w:pPr>
        <w:pStyle w:val="BodyText"/>
        <w:ind w:left="5790" w:right="683"/>
        <w:jc w:val="center"/>
      </w:pPr>
      <w:r>
        <w:rPr>
          <w:color w:val="231F20"/>
        </w:rPr>
        <w:t>Yours</w:t>
      </w:r>
      <w:r>
        <w:rPr>
          <w:color w:val="231F20"/>
          <w:spacing w:val="25"/>
        </w:rPr>
        <w:t> </w:t>
      </w:r>
      <w:r>
        <w:rPr>
          <w:color w:val="231F20"/>
          <w:spacing w:val="-2"/>
        </w:rPr>
        <w:t>faithfully,</w:t>
      </w:r>
    </w:p>
    <w:p>
      <w:pPr>
        <w:spacing w:line="292" w:lineRule="auto" w:before="50"/>
        <w:ind w:left="5791" w:right="681" w:firstLine="0"/>
        <w:jc w:val="center"/>
        <w:rPr>
          <w:b/>
          <w:sz w:val="20"/>
        </w:rPr>
      </w:pPr>
      <w:r>
        <w:rPr>
          <w:color w:val="231F20"/>
          <w:sz w:val="20"/>
        </w:rPr>
        <w:t>For and on behalf of the </w:t>
      </w:r>
      <w:r>
        <w:rPr>
          <w:color w:val="231F20"/>
          <w:sz w:val="20"/>
        </w:rPr>
        <w:t>Board </w:t>
      </w:r>
      <w:r>
        <w:rPr>
          <w:b/>
          <w:color w:val="231F20"/>
          <w:sz w:val="20"/>
        </w:rPr>
        <w:t>Xiamen Jihong Co., Ltd ZHUANG Hao</w:t>
      </w:r>
    </w:p>
    <w:p>
      <w:pPr>
        <w:spacing w:line="228" w:lineRule="exact" w:before="0"/>
        <w:ind w:left="5487" w:right="0" w:firstLine="0"/>
        <w:jc w:val="left"/>
        <w:rPr>
          <w:i/>
          <w:sz w:val="20"/>
        </w:rPr>
      </w:pPr>
      <w:r>
        <w:rPr>
          <w:i/>
          <w:color w:val="231F20"/>
          <w:sz w:val="20"/>
        </w:rPr>
        <w:t>Executive</w:t>
      </w:r>
      <w:r>
        <w:rPr>
          <w:i/>
          <w:color w:val="231F20"/>
          <w:spacing w:val="26"/>
          <w:sz w:val="20"/>
        </w:rPr>
        <w:t> </w:t>
      </w:r>
      <w:r>
        <w:rPr>
          <w:i/>
          <w:color w:val="231F20"/>
          <w:sz w:val="20"/>
        </w:rPr>
        <w:t>Director</w:t>
      </w:r>
      <w:r>
        <w:rPr>
          <w:i/>
          <w:color w:val="231F20"/>
          <w:spacing w:val="26"/>
          <w:sz w:val="20"/>
        </w:rPr>
        <w:t> </w:t>
      </w:r>
      <w:r>
        <w:rPr>
          <w:i/>
          <w:color w:val="231F20"/>
          <w:sz w:val="20"/>
        </w:rPr>
        <w:t>and</w:t>
      </w:r>
      <w:r>
        <w:rPr>
          <w:i/>
          <w:color w:val="231F20"/>
          <w:spacing w:val="26"/>
          <w:sz w:val="20"/>
        </w:rPr>
        <w:t> </w:t>
      </w:r>
      <w:r>
        <w:rPr>
          <w:i/>
          <w:color w:val="231F20"/>
          <w:sz w:val="20"/>
        </w:rPr>
        <w:t>General</w:t>
      </w:r>
      <w:r>
        <w:rPr>
          <w:i/>
          <w:color w:val="231F20"/>
          <w:spacing w:val="26"/>
          <w:sz w:val="20"/>
        </w:rPr>
        <w:t> </w:t>
      </w:r>
      <w:r>
        <w:rPr>
          <w:i/>
          <w:color w:val="231F20"/>
          <w:spacing w:val="-2"/>
          <w:sz w:val="20"/>
        </w:rPr>
        <w:t>Manager</w:t>
      </w:r>
    </w:p>
    <w:p>
      <w:pPr>
        <w:spacing w:after="0" w:line="228" w:lineRule="exact"/>
        <w:jc w:val="left"/>
        <w:rPr>
          <w:i/>
          <w:sz w:val="20"/>
        </w:rPr>
        <w:sectPr>
          <w:pgSz w:w="11910" w:h="15880"/>
          <w:pgMar w:header="567" w:footer="573" w:top="1300" w:bottom="760" w:left="1275" w:right="1275"/>
        </w:sectPr>
      </w:pPr>
    </w:p>
    <w:p>
      <w:pPr>
        <w:pStyle w:val="BodyText"/>
        <w:spacing w:before="144"/>
        <w:rPr>
          <w:i/>
        </w:rPr>
      </w:pPr>
    </w:p>
    <w:p>
      <w:pPr>
        <w:pStyle w:val="Heading3"/>
        <w:numPr>
          <w:ilvl w:val="0"/>
          <w:numId w:val="5"/>
        </w:numPr>
        <w:tabs>
          <w:tab w:pos="709" w:val="left" w:leader="none"/>
        </w:tabs>
        <w:spacing w:line="240" w:lineRule="auto" w:before="1" w:after="0"/>
        <w:ind w:left="709" w:right="0" w:hanging="567"/>
        <w:jc w:val="left"/>
      </w:pPr>
      <w:r>
        <w:rPr>
          <w:color w:val="231F20"/>
        </w:rPr>
        <w:t>PROFIT</w:t>
      </w:r>
      <w:r>
        <w:rPr>
          <w:color w:val="231F20"/>
          <w:spacing w:val="27"/>
        </w:rPr>
        <w:t> </w:t>
      </w:r>
      <w:r>
        <w:rPr>
          <w:color w:val="231F20"/>
        </w:rPr>
        <w:t>DISTRIBUTION</w:t>
      </w:r>
      <w:r>
        <w:rPr>
          <w:color w:val="231F20"/>
          <w:spacing w:val="27"/>
        </w:rPr>
        <w:t> </w:t>
      </w:r>
      <w:r>
        <w:rPr>
          <w:color w:val="231F20"/>
        </w:rPr>
        <w:t>FOR</w:t>
      </w:r>
      <w:r>
        <w:rPr>
          <w:color w:val="231F20"/>
          <w:spacing w:val="27"/>
        </w:rPr>
        <w:t> </w:t>
      </w:r>
      <w:r>
        <w:rPr>
          <w:color w:val="231F20"/>
        </w:rPr>
        <w:t>THE</w:t>
      </w:r>
      <w:r>
        <w:rPr>
          <w:color w:val="231F20"/>
          <w:spacing w:val="27"/>
        </w:rPr>
        <w:t> </w:t>
      </w:r>
      <w:r>
        <w:rPr>
          <w:color w:val="231F20"/>
        </w:rPr>
        <w:t>FIRST</w:t>
      </w:r>
      <w:r>
        <w:rPr>
          <w:color w:val="231F20"/>
          <w:spacing w:val="27"/>
        </w:rPr>
        <w:t> </w:t>
      </w:r>
      <w:r>
        <w:rPr>
          <w:color w:val="231F20"/>
        </w:rPr>
        <w:t>HALF</w:t>
      </w:r>
      <w:r>
        <w:rPr>
          <w:color w:val="231F20"/>
          <w:spacing w:val="27"/>
        </w:rPr>
        <w:t> </w:t>
      </w:r>
      <w:r>
        <w:rPr>
          <w:color w:val="231F20"/>
        </w:rPr>
        <w:t>OF</w:t>
      </w:r>
      <w:r>
        <w:rPr>
          <w:color w:val="231F20"/>
          <w:spacing w:val="27"/>
        </w:rPr>
        <w:t> </w:t>
      </w:r>
      <w:r>
        <w:rPr>
          <w:color w:val="231F20"/>
          <w:spacing w:val="-4"/>
        </w:rPr>
        <w:t>2025</w:t>
      </w:r>
    </w:p>
    <w:p>
      <w:pPr>
        <w:pStyle w:val="BodyText"/>
        <w:spacing w:before="100"/>
        <w:rPr>
          <w:b/>
        </w:rPr>
      </w:pPr>
    </w:p>
    <w:p>
      <w:pPr>
        <w:pStyle w:val="BodyText"/>
        <w:spacing w:line="292" w:lineRule="auto"/>
        <w:ind w:left="142" w:right="136" w:firstLine="567"/>
        <w:jc w:val="both"/>
      </w:pPr>
      <w:r>
        <w:rPr>
          <w:color w:val="231F20"/>
        </w:rPr>
        <w:t>An ordinary resolution will be proposed at the 2025 Second EGM to consider and approve the </w:t>
      </w:r>
      <w:r>
        <w:rPr>
          <w:color w:val="231F20"/>
        </w:rPr>
        <w:t>profit distribution</w:t>
      </w:r>
      <w:r>
        <w:rPr>
          <w:color w:val="231F20"/>
          <w:spacing w:val="39"/>
        </w:rPr>
        <w:t> </w:t>
      </w:r>
      <w:r>
        <w:rPr>
          <w:color w:val="231F20"/>
        </w:rPr>
        <w:t>plan</w:t>
      </w:r>
      <w:r>
        <w:rPr>
          <w:color w:val="231F20"/>
          <w:spacing w:val="39"/>
        </w:rPr>
        <w:t> </w:t>
      </w:r>
      <w:r>
        <w:rPr>
          <w:color w:val="231F20"/>
        </w:rPr>
        <w:t>of</w:t>
      </w:r>
      <w:r>
        <w:rPr>
          <w:color w:val="231F20"/>
          <w:spacing w:val="39"/>
        </w:rPr>
        <w:t> </w:t>
      </w:r>
      <w:r>
        <w:rPr>
          <w:color w:val="231F20"/>
        </w:rPr>
        <w:t>the</w:t>
      </w:r>
      <w:r>
        <w:rPr>
          <w:color w:val="231F20"/>
          <w:spacing w:val="39"/>
        </w:rPr>
        <w:t> </w:t>
      </w:r>
      <w:r>
        <w:rPr>
          <w:color w:val="231F20"/>
        </w:rPr>
        <w:t>Company</w:t>
      </w:r>
      <w:r>
        <w:rPr>
          <w:color w:val="231F20"/>
          <w:spacing w:val="39"/>
        </w:rPr>
        <w:t> </w:t>
      </w:r>
      <w:r>
        <w:rPr>
          <w:color w:val="231F20"/>
        </w:rPr>
        <w:t>for</w:t>
      </w:r>
      <w:r>
        <w:rPr>
          <w:color w:val="231F20"/>
          <w:spacing w:val="39"/>
        </w:rPr>
        <w:t> </w:t>
      </w:r>
      <w:r>
        <w:rPr>
          <w:color w:val="231F20"/>
        </w:rPr>
        <w:t>the</w:t>
      </w:r>
      <w:r>
        <w:rPr>
          <w:color w:val="231F20"/>
          <w:spacing w:val="39"/>
        </w:rPr>
        <w:t> </w:t>
      </w:r>
      <w:r>
        <w:rPr>
          <w:color w:val="231F20"/>
        </w:rPr>
        <w:t>first</w:t>
      </w:r>
      <w:r>
        <w:rPr>
          <w:color w:val="231F20"/>
          <w:spacing w:val="39"/>
        </w:rPr>
        <w:t> </w:t>
      </w:r>
      <w:r>
        <w:rPr>
          <w:color w:val="231F20"/>
        </w:rPr>
        <w:t>half</w:t>
      </w:r>
      <w:r>
        <w:rPr>
          <w:color w:val="231F20"/>
          <w:spacing w:val="39"/>
        </w:rPr>
        <w:t> </w:t>
      </w:r>
      <w:r>
        <w:rPr>
          <w:color w:val="231F20"/>
        </w:rPr>
        <w:t>of</w:t>
      </w:r>
      <w:r>
        <w:rPr>
          <w:color w:val="231F20"/>
          <w:spacing w:val="39"/>
        </w:rPr>
        <w:t> </w:t>
      </w:r>
      <w:r>
        <w:rPr>
          <w:color w:val="231F20"/>
        </w:rPr>
        <w:t>2025,</w:t>
      </w:r>
      <w:r>
        <w:rPr>
          <w:color w:val="231F20"/>
          <w:spacing w:val="39"/>
        </w:rPr>
        <w:t> </w:t>
      </w:r>
      <w:r>
        <w:rPr>
          <w:color w:val="231F20"/>
        </w:rPr>
        <w:t>details</w:t>
      </w:r>
      <w:r>
        <w:rPr>
          <w:color w:val="231F20"/>
          <w:spacing w:val="39"/>
        </w:rPr>
        <w:t> </w:t>
      </w:r>
      <w:r>
        <w:rPr>
          <w:color w:val="231F20"/>
        </w:rPr>
        <w:t>of</w:t>
      </w:r>
      <w:r>
        <w:rPr>
          <w:color w:val="231F20"/>
          <w:spacing w:val="39"/>
        </w:rPr>
        <w:t> </w:t>
      </w:r>
      <w:r>
        <w:rPr>
          <w:color w:val="231F20"/>
        </w:rPr>
        <w:t>which</w:t>
      </w:r>
      <w:r>
        <w:rPr>
          <w:color w:val="231F20"/>
          <w:spacing w:val="39"/>
        </w:rPr>
        <w:t> </w:t>
      </w:r>
      <w:r>
        <w:rPr>
          <w:color w:val="231F20"/>
        </w:rPr>
        <w:t>are</w:t>
      </w:r>
      <w:r>
        <w:rPr>
          <w:color w:val="231F20"/>
          <w:spacing w:val="39"/>
        </w:rPr>
        <w:t> </w:t>
      </w:r>
      <w:r>
        <w:rPr>
          <w:color w:val="231F20"/>
        </w:rPr>
        <w:t>as</w:t>
      </w:r>
      <w:r>
        <w:rPr>
          <w:color w:val="231F20"/>
          <w:spacing w:val="39"/>
        </w:rPr>
        <w:t> </w:t>
      </w:r>
      <w:r>
        <w:rPr>
          <w:color w:val="231F20"/>
        </w:rPr>
        <w:t>follows:</w:t>
      </w:r>
    </w:p>
    <w:p>
      <w:pPr>
        <w:pStyle w:val="BodyText"/>
        <w:spacing w:before="48"/>
      </w:pPr>
    </w:p>
    <w:p>
      <w:pPr>
        <w:pStyle w:val="BodyText"/>
        <w:spacing w:line="292" w:lineRule="auto" w:before="1"/>
        <w:ind w:left="142" w:right="133" w:firstLine="567"/>
        <w:jc w:val="both"/>
      </w:pPr>
      <w:r>
        <w:rPr>
          <w:color w:val="231F20"/>
        </w:rPr>
        <w:t>According</w:t>
      </w:r>
      <w:r>
        <w:rPr>
          <w:color w:val="231F20"/>
          <w:spacing w:val="40"/>
        </w:rPr>
        <w:t> </w:t>
      </w:r>
      <w:r>
        <w:rPr>
          <w:color w:val="231F20"/>
        </w:rPr>
        <w:t>to</w:t>
      </w:r>
      <w:r>
        <w:rPr>
          <w:color w:val="231F20"/>
          <w:spacing w:val="40"/>
        </w:rPr>
        <w:t> </w:t>
      </w:r>
      <w:r>
        <w:rPr>
          <w:color w:val="231F20"/>
        </w:rPr>
        <w:t>the</w:t>
      </w:r>
      <w:r>
        <w:rPr>
          <w:color w:val="231F20"/>
          <w:spacing w:val="40"/>
        </w:rPr>
        <w:t> </w:t>
      </w:r>
      <w:r>
        <w:rPr>
          <w:color w:val="231F20"/>
        </w:rPr>
        <w:t>Company’s</w:t>
      </w:r>
      <w:r>
        <w:rPr>
          <w:color w:val="231F20"/>
          <w:spacing w:val="40"/>
        </w:rPr>
        <w:t> </w:t>
      </w:r>
      <w:r>
        <w:rPr>
          <w:color w:val="231F20"/>
        </w:rPr>
        <w:t>unaudited</w:t>
      </w:r>
      <w:r>
        <w:rPr>
          <w:color w:val="231F20"/>
          <w:spacing w:val="40"/>
        </w:rPr>
        <w:t> </w:t>
      </w:r>
      <w:r>
        <w:rPr>
          <w:color w:val="231F20"/>
        </w:rPr>
        <w:t>financial</w:t>
      </w:r>
      <w:r>
        <w:rPr>
          <w:color w:val="231F20"/>
          <w:spacing w:val="40"/>
        </w:rPr>
        <w:t> </w:t>
      </w:r>
      <w:r>
        <w:rPr>
          <w:color w:val="231F20"/>
        </w:rPr>
        <w:t>results</w:t>
      </w:r>
      <w:r>
        <w:rPr>
          <w:color w:val="231F20"/>
          <w:spacing w:val="40"/>
        </w:rPr>
        <w:t> </w:t>
      </w:r>
      <w:r>
        <w:rPr>
          <w:color w:val="231F20"/>
        </w:rPr>
        <w:t>for</w:t>
      </w:r>
      <w:r>
        <w:rPr>
          <w:color w:val="231F20"/>
          <w:spacing w:val="40"/>
        </w:rPr>
        <w:t> </w:t>
      </w:r>
      <w:r>
        <w:rPr>
          <w:color w:val="231F20"/>
        </w:rPr>
        <w:t>the</w:t>
      </w:r>
      <w:r>
        <w:rPr>
          <w:color w:val="231F20"/>
          <w:spacing w:val="40"/>
        </w:rPr>
        <w:t> </w:t>
      </w:r>
      <w:r>
        <w:rPr>
          <w:color w:val="231F20"/>
        </w:rPr>
        <w:t>first</w:t>
      </w:r>
      <w:r>
        <w:rPr>
          <w:color w:val="231F20"/>
          <w:spacing w:val="40"/>
        </w:rPr>
        <w:t> </w:t>
      </w:r>
      <w:r>
        <w:rPr>
          <w:color w:val="231F20"/>
        </w:rPr>
        <w:t>half</w:t>
      </w:r>
      <w:r>
        <w:rPr>
          <w:color w:val="231F20"/>
          <w:spacing w:val="40"/>
        </w:rPr>
        <w:t> </w:t>
      </w:r>
      <w:r>
        <w:rPr>
          <w:color w:val="231F20"/>
        </w:rPr>
        <w:t>of</w:t>
      </w:r>
      <w:r>
        <w:rPr>
          <w:color w:val="231F20"/>
          <w:spacing w:val="40"/>
        </w:rPr>
        <w:t> </w:t>
      </w:r>
      <w:r>
        <w:rPr>
          <w:color w:val="231F20"/>
        </w:rPr>
        <w:t>2025,</w:t>
      </w:r>
      <w:r>
        <w:rPr>
          <w:color w:val="231F20"/>
          <w:spacing w:val="40"/>
        </w:rPr>
        <w:t> </w:t>
      </w:r>
      <w:r>
        <w:rPr>
          <w:color w:val="231F20"/>
        </w:rPr>
        <w:t>the</w:t>
      </w:r>
      <w:r>
        <w:rPr>
          <w:color w:val="231F20"/>
          <w:spacing w:val="40"/>
        </w:rPr>
        <w:t> </w:t>
      </w:r>
      <w:r>
        <w:rPr>
          <w:color w:val="231F20"/>
        </w:rPr>
        <w:t>Company’s total distributable profit from January 2025 to June 2025 was RMB232,626,943.40. The Company proposed, based on the Company’s distributable share capital of 442,602,888 Shares (being the Company’s total </w:t>
      </w:r>
      <w:r>
        <w:rPr>
          <w:color w:val="231F20"/>
        </w:rPr>
        <w:t>share capital</w:t>
      </w:r>
      <w:r>
        <w:rPr>
          <w:color w:val="231F20"/>
          <w:spacing w:val="24"/>
        </w:rPr>
        <w:t> </w:t>
      </w:r>
      <w:r>
        <w:rPr>
          <w:color w:val="231F20"/>
        </w:rPr>
        <w:t>of</w:t>
      </w:r>
      <w:r>
        <w:rPr>
          <w:color w:val="231F20"/>
          <w:spacing w:val="24"/>
        </w:rPr>
        <w:t> </w:t>
      </w:r>
      <w:r>
        <w:rPr>
          <w:color w:val="231F20"/>
        </w:rPr>
        <w:t>452,679,288</w:t>
      </w:r>
      <w:r>
        <w:rPr>
          <w:color w:val="231F20"/>
          <w:spacing w:val="24"/>
        </w:rPr>
        <w:t> </w:t>
      </w:r>
      <w:r>
        <w:rPr>
          <w:color w:val="231F20"/>
        </w:rPr>
        <w:t>shares</w:t>
      </w:r>
      <w:r>
        <w:rPr>
          <w:color w:val="231F20"/>
          <w:spacing w:val="24"/>
        </w:rPr>
        <w:t> </w:t>
      </w:r>
      <w:r>
        <w:rPr>
          <w:color w:val="231F20"/>
        </w:rPr>
        <w:t>excluding</w:t>
      </w:r>
      <w:r>
        <w:rPr>
          <w:color w:val="231F20"/>
          <w:spacing w:val="24"/>
        </w:rPr>
        <w:t> </w:t>
      </w:r>
      <w:r>
        <w:rPr>
          <w:color w:val="231F20"/>
        </w:rPr>
        <w:t>10,076,400</w:t>
      </w:r>
      <w:r>
        <w:rPr>
          <w:color w:val="231F20"/>
          <w:spacing w:val="24"/>
        </w:rPr>
        <w:t> </w:t>
      </w:r>
      <w:r>
        <w:rPr>
          <w:color w:val="231F20"/>
        </w:rPr>
        <w:t>shares</w:t>
      </w:r>
      <w:r>
        <w:rPr>
          <w:color w:val="231F20"/>
          <w:spacing w:val="24"/>
        </w:rPr>
        <w:t> </w:t>
      </w:r>
      <w:r>
        <w:rPr>
          <w:color w:val="231F20"/>
        </w:rPr>
        <w:t>held</w:t>
      </w:r>
      <w:r>
        <w:rPr>
          <w:color w:val="231F20"/>
          <w:spacing w:val="24"/>
        </w:rPr>
        <w:t> </w:t>
      </w:r>
      <w:r>
        <w:rPr>
          <w:color w:val="231F20"/>
        </w:rPr>
        <w:t>in</w:t>
      </w:r>
      <w:r>
        <w:rPr>
          <w:color w:val="231F20"/>
          <w:spacing w:val="24"/>
        </w:rPr>
        <w:t> </w:t>
      </w:r>
      <w:r>
        <w:rPr>
          <w:color w:val="231F20"/>
        </w:rPr>
        <w:t>the</w:t>
      </w:r>
      <w:r>
        <w:rPr>
          <w:color w:val="231F20"/>
          <w:spacing w:val="24"/>
        </w:rPr>
        <w:t> </w:t>
      </w:r>
      <w:r>
        <w:rPr>
          <w:color w:val="231F20"/>
        </w:rPr>
        <w:t>dedicated</w:t>
      </w:r>
      <w:r>
        <w:rPr>
          <w:color w:val="231F20"/>
          <w:spacing w:val="24"/>
        </w:rPr>
        <w:t> </w:t>
      </w:r>
      <w:r>
        <w:rPr>
          <w:color w:val="231F20"/>
        </w:rPr>
        <w:t>repurchase</w:t>
      </w:r>
      <w:r>
        <w:rPr>
          <w:color w:val="231F20"/>
          <w:spacing w:val="24"/>
        </w:rPr>
        <w:t> </w:t>
      </w:r>
      <w:r>
        <w:rPr>
          <w:color w:val="231F20"/>
        </w:rPr>
        <w:t>account)</w:t>
      </w:r>
      <w:r>
        <w:rPr>
          <w:color w:val="231F20"/>
          <w:spacing w:val="24"/>
        </w:rPr>
        <w:t> </w:t>
      </w:r>
      <w:r>
        <w:rPr>
          <w:color w:val="231F20"/>
        </w:rPr>
        <w:t>in</w:t>
      </w:r>
      <w:r>
        <w:rPr>
          <w:color w:val="231F20"/>
          <w:spacing w:val="24"/>
        </w:rPr>
        <w:t> </w:t>
      </w:r>
      <w:r>
        <w:rPr>
          <w:color w:val="231F20"/>
        </w:rPr>
        <w:t>issue as</w:t>
      </w:r>
      <w:r>
        <w:rPr>
          <w:color w:val="231F20"/>
          <w:spacing w:val="23"/>
        </w:rPr>
        <w:t> </w:t>
      </w:r>
      <w:r>
        <w:rPr>
          <w:color w:val="231F20"/>
        </w:rPr>
        <w:t>of</w:t>
      </w:r>
      <w:r>
        <w:rPr>
          <w:color w:val="231F20"/>
          <w:spacing w:val="23"/>
        </w:rPr>
        <w:t> </w:t>
      </w:r>
      <w:r>
        <w:rPr>
          <w:color w:val="231F20"/>
        </w:rPr>
        <w:t>August</w:t>
      </w:r>
      <w:r>
        <w:rPr>
          <w:color w:val="231F20"/>
          <w:spacing w:val="23"/>
        </w:rPr>
        <w:t> </w:t>
      </w:r>
      <w:r>
        <w:rPr>
          <w:color w:val="231F20"/>
        </w:rPr>
        <w:t>21,</w:t>
      </w:r>
      <w:r>
        <w:rPr>
          <w:color w:val="231F20"/>
          <w:spacing w:val="23"/>
        </w:rPr>
        <w:t> </w:t>
      </w:r>
      <w:r>
        <w:rPr>
          <w:color w:val="231F20"/>
        </w:rPr>
        <w:t>2025</w:t>
      </w:r>
      <w:r>
        <w:rPr>
          <w:color w:val="231F20"/>
          <w:spacing w:val="23"/>
        </w:rPr>
        <w:t> </w:t>
      </w:r>
      <w:r>
        <w:rPr>
          <w:color w:val="231F20"/>
        </w:rPr>
        <w:t>(the</w:t>
      </w:r>
      <w:r>
        <w:rPr>
          <w:color w:val="231F20"/>
          <w:spacing w:val="23"/>
        </w:rPr>
        <w:t> </w:t>
      </w:r>
      <w:r>
        <w:rPr>
          <w:color w:val="231F20"/>
        </w:rPr>
        <w:t>date</w:t>
      </w:r>
      <w:r>
        <w:rPr>
          <w:color w:val="231F20"/>
          <w:spacing w:val="23"/>
        </w:rPr>
        <w:t> </w:t>
      </w:r>
      <w:r>
        <w:rPr>
          <w:color w:val="231F20"/>
        </w:rPr>
        <w:t>on</w:t>
      </w:r>
      <w:r>
        <w:rPr>
          <w:color w:val="231F20"/>
          <w:spacing w:val="23"/>
        </w:rPr>
        <w:t> </w:t>
      </w:r>
      <w:r>
        <w:rPr>
          <w:color w:val="231F20"/>
        </w:rPr>
        <w:t>which</w:t>
      </w:r>
      <w:r>
        <w:rPr>
          <w:color w:val="231F20"/>
          <w:spacing w:val="23"/>
        </w:rPr>
        <w:t> </w:t>
      </w:r>
      <w:r>
        <w:rPr>
          <w:color w:val="231F20"/>
        </w:rPr>
        <w:t>the</w:t>
      </w:r>
      <w:r>
        <w:rPr>
          <w:color w:val="231F20"/>
          <w:spacing w:val="23"/>
        </w:rPr>
        <w:t> </w:t>
      </w:r>
      <w:r>
        <w:rPr>
          <w:color w:val="231F20"/>
        </w:rPr>
        <w:t>Unaudited</w:t>
      </w:r>
      <w:r>
        <w:rPr>
          <w:color w:val="231F20"/>
          <w:spacing w:val="23"/>
        </w:rPr>
        <w:t> </w:t>
      </w:r>
      <w:r>
        <w:rPr>
          <w:color w:val="231F20"/>
        </w:rPr>
        <w:t>Interim</w:t>
      </w:r>
      <w:r>
        <w:rPr>
          <w:color w:val="231F20"/>
          <w:spacing w:val="23"/>
        </w:rPr>
        <w:t> </w:t>
      </w:r>
      <w:r>
        <w:rPr>
          <w:color w:val="231F20"/>
        </w:rPr>
        <w:t>Results</w:t>
      </w:r>
      <w:r>
        <w:rPr>
          <w:color w:val="231F20"/>
          <w:spacing w:val="23"/>
        </w:rPr>
        <w:t> </w:t>
      </w:r>
      <w:r>
        <w:rPr>
          <w:color w:val="231F20"/>
        </w:rPr>
        <w:t>Announcement</w:t>
      </w:r>
      <w:r>
        <w:rPr>
          <w:color w:val="231F20"/>
          <w:spacing w:val="23"/>
        </w:rPr>
        <w:t> </w:t>
      </w:r>
      <w:r>
        <w:rPr>
          <w:color w:val="231F20"/>
        </w:rPr>
        <w:t>was</w:t>
      </w:r>
      <w:r>
        <w:rPr>
          <w:color w:val="231F20"/>
          <w:spacing w:val="23"/>
        </w:rPr>
        <w:t> </w:t>
      </w:r>
      <w:r>
        <w:rPr>
          <w:color w:val="231F20"/>
        </w:rPr>
        <w:t>published),</w:t>
      </w:r>
      <w:r>
        <w:rPr>
          <w:color w:val="231F20"/>
          <w:spacing w:val="23"/>
        </w:rPr>
        <w:t> </w:t>
      </w:r>
      <w:r>
        <w:rPr>
          <w:color w:val="231F20"/>
        </w:rPr>
        <w:t>that a</w:t>
      </w:r>
      <w:r>
        <w:rPr>
          <w:color w:val="231F20"/>
          <w:spacing w:val="32"/>
        </w:rPr>
        <w:t> </w:t>
      </w:r>
      <w:r>
        <w:rPr>
          <w:color w:val="231F20"/>
        </w:rPr>
        <w:t>cash</w:t>
      </w:r>
      <w:r>
        <w:rPr>
          <w:color w:val="231F20"/>
          <w:spacing w:val="32"/>
        </w:rPr>
        <w:t> </w:t>
      </w:r>
      <w:r>
        <w:rPr>
          <w:color w:val="231F20"/>
        </w:rPr>
        <w:t>dividend</w:t>
      </w:r>
      <w:r>
        <w:rPr>
          <w:color w:val="231F20"/>
          <w:spacing w:val="32"/>
        </w:rPr>
        <w:t> </w:t>
      </w:r>
      <w:r>
        <w:rPr>
          <w:color w:val="231F20"/>
        </w:rPr>
        <w:t>of</w:t>
      </w:r>
      <w:r>
        <w:rPr>
          <w:color w:val="231F20"/>
          <w:spacing w:val="32"/>
        </w:rPr>
        <w:t> </w:t>
      </w:r>
      <w:r>
        <w:rPr>
          <w:color w:val="231F20"/>
        </w:rPr>
        <w:t>RMB0.18</w:t>
      </w:r>
      <w:r>
        <w:rPr>
          <w:color w:val="231F20"/>
          <w:spacing w:val="32"/>
        </w:rPr>
        <w:t> </w:t>
      </w:r>
      <w:r>
        <w:rPr>
          <w:color w:val="231F20"/>
        </w:rPr>
        <w:t>per</w:t>
      </w:r>
      <w:r>
        <w:rPr>
          <w:color w:val="231F20"/>
          <w:spacing w:val="32"/>
        </w:rPr>
        <w:t> </w:t>
      </w:r>
      <w:r>
        <w:rPr>
          <w:color w:val="231F20"/>
        </w:rPr>
        <w:t>Share</w:t>
      </w:r>
      <w:r>
        <w:rPr>
          <w:color w:val="231F20"/>
          <w:spacing w:val="32"/>
        </w:rPr>
        <w:t> </w:t>
      </w:r>
      <w:r>
        <w:rPr>
          <w:color w:val="231F20"/>
        </w:rPr>
        <w:t>(tax</w:t>
      </w:r>
      <w:r>
        <w:rPr>
          <w:color w:val="231F20"/>
          <w:spacing w:val="32"/>
        </w:rPr>
        <w:t> </w:t>
      </w:r>
      <w:r>
        <w:rPr>
          <w:color w:val="231F20"/>
        </w:rPr>
        <w:t>inclusive)</w:t>
      </w:r>
      <w:r>
        <w:rPr>
          <w:color w:val="231F20"/>
          <w:spacing w:val="32"/>
        </w:rPr>
        <w:t> </w:t>
      </w:r>
      <w:r>
        <w:rPr>
          <w:color w:val="231F20"/>
        </w:rPr>
        <w:t>will</w:t>
      </w:r>
      <w:r>
        <w:rPr>
          <w:color w:val="231F20"/>
          <w:spacing w:val="32"/>
        </w:rPr>
        <w:t> </w:t>
      </w:r>
      <w:r>
        <w:rPr>
          <w:color w:val="231F20"/>
        </w:rPr>
        <w:t>be</w:t>
      </w:r>
      <w:r>
        <w:rPr>
          <w:color w:val="231F20"/>
          <w:spacing w:val="32"/>
        </w:rPr>
        <w:t> </w:t>
      </w:r>
      <w:r>
        <w:rPr>
          <w:color w:val="231F20"/>
        </w:rPr>
        <w:t>distributed</w:t>
      </w:r>
      <w:r>
        <w:rPr>
          <w:color w:val="231F20"/>
          <w:spacing w:val="32"/>
        </w:rPr>
        <w:t> </w:t>
      </w:r>
      <w:r>
        <w:rPr>
          <w:color w:val="231F20"/>
        </w:rPr>
        <w:t>to</w:t>
      </w:r>
      <w:r>
        <w:rPr>
          <w:color w:val="231F20"/>
          <w:spacing w:val="32"/>
        </w:rPr>
        <w:t> </w:t>
      </w:r>
      <w:r>
        <w:rPr>
          <w:color w:val="231F20"/>
        </w:rPr>
        <w:t>all</w:t>
      </w:r>
      <w:r>
        <w:rPr>
          <w:color w:val="231F20"/>
          <w:spacing w:val="32"/>
        </w:rPr>
        <w:t> </w:t>
      </w:r>
      <w:r>
        <w:rPr>
          <w:color w:val="231F20"/>
        </w:rPr>
        <w:t>Shareholders,</w:t>
      </w:r>
      <w:r>
        <w:rPr>
          <w:color w:val="231F20"/>
          <w:spacing w:val="32"/>
        </w:rPr>
        <w:t> </w:t>
      </w:r>
      <w:r>
        <w:rPr>
          <w:color w:val="231F20"/>
        </w:rPr>
        <w:t>amounting</w:t>
      </w:r>
      <w:r>
        <w:rPr>
          <w:color w:val="231F20"/>
          <w:spacing w:val="32"/>
        </w:rPr>
        <w:t> </w:t>
      </w:r>
      <w:r>
        <w:rPr>
          <w:color w:val="231F20"/>
        </w:rPr>
        <w:t>to a</w:t>
      </w:r>
      <w:r>
        <w:rPr>
          <w:color w:val="231F20"/>
          <w:spacing w:val="40"/>
        </w:rPr>
        <w:t> </w:t>
      </w:r>
      <w:r>
        <w:rPr>
          <w:color w:val="231F20"/>
        </w:rPr>
        <w:t>total</w:t>
      </w:r>
      <w:r>
        <w:rPr>
          <w:color w:val="231F20"/>
          <w:spacing w:val="40"/>
        </w:rPr>
        <w:t> </w:t>
      </w:r>
      <w:r>
        <w:rPr>
          <w:color w:val="231F20"/>
        </w:rPr>
        <w:t>cash</w:t>
      </w:r>
      <w:r>
        <w:rPr>
          <w:color w:val="231F20"/>
          <w:spacing w:val="40"/>
        </w:rPr>
        <w:t> </w:t>
      </w:r>
      <w:r>
        <w:rPr>
          <w:color w:val="231F20"/>
        </w:rPr>
        <w:t>dividend</w:t>
      </w:r>
      <w:r>
        <w:rPr>
          <w:color w:val="231F20"/>
          <w:spacing w:val="40"/>
        </w:rPr>
        <w:t> </w:t>
      </w:r>
      <w:r>
        <w:rPr>
          <w:color w:val="231F20"/>
        </w:rPr>
        <w:t>distribution</w:t>
      </w:r>
      <w:r>
        <w:rPr>
          <w:color w:val="231F20"/>
          <w:spacing w:val="40"/>
        </w:rPr>
        <w:t> </w:t>
      </w:r>
      <w:r>
        <w:rPr>
          <w:color w:val="231F20"/>
        </w:rPr>
        <w:t>of</w:t>
      </w:r>
      <w:r>
        <w:rPr>
          <w:color w:val="231F20"/>
          <w:spacing w:val="40"/>
        </w:rPr>
        <w:t> </w:t>
      </w:r>
      <w:r>
        <w:rPr>
          <w:color w:val="231F20"/>
        </w:rPr>
        <w:t>RMB79,668,519.84,</w:t>
      </w:r>
      <w:r>
        <w:rPr>
          <w:color w:val="231F20"/>
          <w:spacing w:val="40"/>
        </w:rPr>
        <w:t> </w:t>
      </w:r>
      <w:r>
        <w:rPr>
          <w:color w:val="231F20"/>
        </w:rPr>
        <w:t>whereas</w:t>
      </w:r>
      <w:r>
        <w:rPr>
          <w:color w:val="231F20"/>
          <w:spacing w:val="40"/>
        </w:rPr>
        <w:t> </w:t>
      </w:r>
      <w:r>
        <w:rPr>
          <w:color w:val="231F20"/>
        </w:rPr>
        <w:t>no</w:t>
      </w:r>
      <w:r>
        <w:rPr>
          <w:color w:val="231F20"/>
          <w:spacing w:val="40"/>
        </w:rPr>
        <w:t> </w:t>
      </w:r>
      <w:r>
        <w:rPr>
          <w:color w:val="231F20"/>
        </w:rPr>
        <w:t>bonus</w:t>
      </w:r>
      <w:r>
        <w:rPr>
          <w:color w:val="231F20"/>
          <w:spacing w:val="40"/>
        </w:rPr>
        <w:t> </w:t>
      </w:r>
      <w:r>
        <w:rPr>
          <w:color w:val="231F20"/>
        </w:rPr>
        <w:t>shares</w:t>
      </w:r>
      <w:r>
        <w:rPr>
          <w:color w:val="231F20"/>
          <w:spacing w:val="40"/>
        </w:rPr>
        <w:t> </w:t>
      </w:r>
      <w:r>
        <w:rPr>
          <w:color w:val="231F20"/>
        </w:rPr>
        <w:t>will</w:t>
      </w:r>
      <w:r>
        <w:rPr>
          <w:color w:val="231F20"/>
          <w:spacing w:val="40"/>
        </w:rPr>
        <w:t> </w:t>
      </w:r>
      <w:r>
        <w:rPr>
          <w:color w:val="231F20"/>
        </w:rPr>
        <w:t>be</w:t>
      </w:r>
      <w:r>
        <w:rPr>
          <w:color w:val="231F20"/>
          <w:spacing w:val="40"/>
        </w:rPr>
        <w:t> </w:t>
      </w:r>
      <w:r>
        <w:rPr>
          <w:color w:val="231F20"/>
        </w:rPr>
        <w:t>distributed,</w:t>
      </w:r>
      <w:r>
        <w:rPr>
          <w:color w:val="231F20"/>
          <w:spacing w:val="40"/>
        </w:rPr>
        <w:t> </w:t>
      </w:r>
      <w:r>
        <w:rPr>
          <w:color w:val="231F20"/>
        </w:rPr>
        <w:t>and no</w:t>
      </w:r>
      <w:r>
        <w:rPr>
          <w:color w:val="231F20"/>
          <w:spacing w:val="40"/>
        </w:rPr>
        <w:t> </w:t>
      </w:r>
      <w:r>
        <w:rPr>
          <w:color w:val="231F20"/>
        </w:rPr>
        <w:t>conversion</w:t>
      </w:r>
      <w:r>
        <w:rPr>
          <w:color w:val="231F20"/>
          <w:spacing w:val="40"/>
        </w:rPr>
        <w:t> </w:t>
      </w:r>
      <w:r>
        <w:rPr>
          <w:color w:val="231F20"/>
        </w:rPr>
        <w:t>of</w:t>
      </w:r>
      <w:r>
        <w:rPr>
          <w:color w:val="231F20"/>
          <w:spacing w:val="40"/>
        </w:rPr>
        <w:t> </w:t>
      </w:r>
      <w:r>
        <w:rPr>
          <w:color w:val="231F20"/>
        </w:rPr>
        <w:t>capital</w:t>
      </w:r>
      <w:r>
        <w:rPr>
          <w:color w:val="231F20"/>
          <w:spacing w:val="40"/>
        </w:rPr>
        <w:t> </w:t>
      </w:r>
      <w:r>
        <w:rPr>
          <w:color w:val="231F20"/>
        </w:rPr>
        <w:t>reserve</w:t>
      </w:r>
      <w:r>
        <w:rPr>
          <w:color w:val="231F20"/>
          <w:spacing w:val="40"/>
        </w:rPr>
        <w:t> </w:t>
      </w:r>
      <w:r>
        <w:rPr>
          <w:color w:val="231F20"/>
        </w:rPr>
        <w:t>into</w:t>
      </w:r>
      <w:r>
        <w:rPr>
          <w:color w:val="231F20"/>
          <w:spacing w:val="40"/>
        </w:rPr>
        <w:t> </w:t>
      </w:r>
      <w:r>
        <w:rPr>
          <w:color w:val="231F20"/>
        </w:rPr>
        <w:t>share</w:t>
      </w:r>
      <w:r>
        <w:rPr>
          <w:color w:val="231F20"/>
          <w:spacing w:val="40"/>
        </w:rPr>
        <w:t> </w:t>
      </w:r>
      <w:r>
        <w:rPr>
          <w:color w:val="231F20"/>
        </w:rPr>
        <w:t>capital</w:t>
      </w:r>
      <w:r>
        <w:rPr>
          <w:color w:val="231F20"/>
          <w:spacing w:val="40"/>
        </w:rPr>
        <w:t> </w:t>
      </w:r>
      <w:r>
        <w:rPr>
          <w:color w:val="231F20"/>
        </w:rPr>
        <w:t>will</w:t>
      </w:r>
      <w:r>
        <w:rPr>
          <w:color w:val="231F20"/>
          <w:spacing w:val="40"/>
        </w:rPr>
        <w:t> </w:t>
      </w:r>
      <w:r>
        <w:rPr>
          <w:color w:val="231F20"/>
        </w:rPr>
        <w:t>be</w:t>
      </w:r>
      <w:r>
        <w:rPr>
          <w:color w:val="231F20"/>
          <w:spacing w:val="40"/>
        </w:rPr>
        <w:t> </w:t>
      </w:r>
      <w:r>
        <w:rPr>
          <w:color w:val="231F20"/>
        </w:rPr>
        <w:t>made.</w:t>
      </w:r>
      <w:r>
        <w:rPr>
          <w:color w:val="231F20"/>
          <w:spacing w:val="40"/>
        </w:rPr>
        <w:t> </w:t>
      </w:r>
      <w:r>
        <w:rPr>
          <w:color w:val="231F20"/>
        </w:rPr>
        <w:t>If</w:t>
      </w:r>
      <w:r>
        <w:rPr>
          <w:color w:val="231F20"/>
          <w:spacing w:val="40"/>
        </w:rPr>
        <w:t> </w:t>
      </w:r>
      <w:r>
        <w:rPr>
          <w:color w:val="231F20"/>
        </w:rPr>
        <w:t>there</w:t>
      </w:r>
      <w:r>
        <w:rPr>
          <w:color w:val="231F20"/>
          <w:spacing w:val="40"/>
        </w:rPr>
        <w:t> </w:t>
      </w:r>
      <w:r>
        <w:rPr>
          <w:color w:val="231F20"/>
        </w:rPr>
        <w:t>is</w:t>
      </w:r>
      <w:r>
        <w:rPr>
          <w:color w:val="231F20"/>
          <w:spacing w:val="40"/>
        </w:rPr>
        <w:t> </w:t>
      </w:r>
      <w:r>
        <w:rPr>
          <w:color w:val="231F20"/>
        </w:rPr>
        <w:t>any</w:t>
      </w:r>
      <w:r>
        <w:rPr>
          <w:color w:val="231F20"/>
          <w:spacing w:val="40"/>
        </w:rPr>
        <w:t> </w:t>
      </w:r>
      <w:r>
        <w:rPr>
          <w:color w:val="231F20"/>
        </w:rPr>
        <w:t>change</w:t>
      </w:r>
      <w:r>
        <w:rPr>
          <w:color w:val="231F20"/>
          <w:spacing w:val="40"/>
        </w:rPr>
        <w:t> </w:t>
      </w:r>
      <w:r>
        <w:rPr>
          <w:color w:val="231F20"/>
        </w:rPr>
        <w:t>in</w:t>
      </w:r>
      <w:r>
        <w:rPr>
          <w:color w:val="231F20"/>
          <w:spacing w:val="40"/>
        </w:rPr>
        <w:t> </w:t>
      </w:r>
      <w:r>
        <w:rPr>
          <w:color w:val="231F20"/>
        </w:rPr>
        <w:t>the</w:t>
      </w:r>
      <w:r>
        <w:rPr>
          <w:color w:val="231F20"/>
          <w:spacing w:val="40"/>
        </w:rPr>
        <w:t> </w:t>
      </w:r>
      <w:r>
        <w:rPr>
          <w:color w:val="231F20"/>
        </w:rPr>
        <w:t>total</w:t>
      </w:r>
      <w:r>
        <w:rPr>
          <w:color w:val="231F20"/>
          <w:spacing w:val="40"/>
        </w:rPr>
        <w:t> </w:t>
      </w:r>
      <w:r>
        <w:rPr>
          <w:color w:val="231F20"/>
        </w:rPr>
        <w:t>share capital,</w:t>
      </w:r>
      <w:r>
        <w:rPr>
          <w:color w:val="231F20"/>
          <w:spacing w:val="23"/>
        </w:rPr>
        <w:t> </w:t>
      </w:r>
      <w:r>
        <w:rPr>
          <w:color w:val="231F20"/>
        </w:rPr>
        <w:t>such</w:t>
      </w:r>
      <w:r>
        <w:rPr>
          <w:color w:val="231F20"/>
          <w:spacing w:val="23"/>
        </w:rPr>
        <w:t> </w:t>
      </w:r>
      <w:r>
        <w:rPr>
          <w:color w:val="231F20"/>
        </w:rPr>
        <w:t>as</w:t>
      </w:r>
      <w:r>
        <w:rPr>
          <w:color w:val="231F20"/>
          <w:spacing w:val="23"/>
        </w:rPr>
        <w:t> </w:t>
      </w:r>
      <w:r>
        <w:rPr>
          <w:color w:val="231F20"/>
        </w:rPr>
        <w:t>exercise</w:t>
      </w:r>
      <w:r>
        <w:rPr>
          <w:color w:val="231F20"/>
          <w:spacing w:val="23"/>
        </w:rPr>
        <w:t> </w:t>
      </w:r>
      <w:r>
        <w:rPr>
          <w:color w:val="231F20"/>
        </w:rPr>
        <w:t>of</w:t>
      </w:r>
      <w:r>
        <w:rPr>
          <w:color w:val="231F20"/>
          <w:spacing w:val="23"/>
        </w:rPr>
        <w:t> </w:t>
      </w:r>
      <w:r>
        <w:rPr>
          <w:color w:val="231F20"/>
        </w:rPr>
        <w:t>equity</w:t>
      </w:r>
      <w:r>
        <w:rPr>
          <w:color w:val="231F20"/>
          <w:spacing w:val="23"/>
        </w:rPr>
        <w:t> </w:t>
      </w:r>
      <w:r>
        <w:rPr>
          <w:color w:val="231F20"/>
        </w:rPr>
        <w:t>incentives,</w:t>
      </w:r>
      <w:r>
        <w:rPr>
          <w:color w:val="231F20"/>
          <w:spacing w:val="23"/>
        </w:rPr>
        <w:t> </w:t>
      </w:r>
      <w:r>
        <w:rPr>
          <w:color w:val="231F20"/>
        </w:rPr>
        <w:t>conversion</w:t>
      </w:r>
      <w:r>
        <w:rPr>
          <w:color w:val="231F20"/>
          <w:spacing w:val="23"/>
        </w:rPr>
        <w:t> </w:t>
      </w:r>
      <w:r>
        <w:rPr>
          <w:color w:val="231F20"/>
        </w:rPr>
        <w:t>of</w:t>
      </w:r>
      <w:r>
        <w:rPr>
          <w:color w:val="231F20"/>
          <w:spacing w:val="23"/>
        </w:rPr>
        <w:t> </w:t>
      </w:r>
      <w:r>
        <w:rPr>
          <w:color w:val="231F20"/>
        </w:rPr>
        <w:t>convertible</w:t>
      </w:r>
      <w:r>
        <w:rPr>
          <w:color w:val="231F20"/>
          <w:spacing w:val="23"/>
        </w:rPr>
        <w:t> </w:t>
      </w:r>
      <w:r>
        <w:rPr>
          <w:color w:val="231F20"/>
        </w:rPr>
        <w:t>bonds,</w:t>
      </w:r>
      <w:r>
        <w:rPr>
          <w:color w:val="231F20"/>
          <w:spacing w:val="23"/>
        </w:rPr>
        <w:t> </w:t>
      </w:r>
      <w:r>
        <w:rPr>
          <w:color w:val="231F20"/>
        </w:rPr>
        <w:t>or</w:t>
      </w:r>
      <w:r>
        <w:rPr>
          <w:color w:val="231F20"/>
          <w:spacing w:val="23"/>
        </w:rPr>
        <w:t> </w:t>
      </w:r>
      <w:r>
        <w:rPr>
          <w:color w:val="231F20"/>
        </w:rPr>
        <w:t>share</w:t>
      </w:r>
      <w:r>
        <w:rPr>
          <w:color w:val="231F20"/>
          <w:spacing w:val="23"/>
        </w:rPr>
        <w:t> </w:t>
      </w:r>
      <w:r>
        <w:rPr>
          <w:color w:val="231F20"/>
        </w:rPr>
        <w:t>repurchases,</w:t>
      </w:r>
      <w:r>
        <w:rPr>
          <w:color w:val="231F20"/>
          <w:spacing w:val="23"/>
        </w:rPr>
        <w:t> </w:t>
      </w:r>
      <w:r>
        <w:rPr>
          <w:color w:val="231F20"/>
        </w:rPr>
        <w:t>between the Unaudited Interim Results Announcement and implementation of the profit distribution plan, the total distribution</w:t>
      </w:r>
      <w:r>
        <w:rPr>
          <w:color w:val="231F20"/>
          <w:spacing w:val="40"/>
        </w:rPr>
        <w:t> </w:t>
      </w:r>
      <w:r>
        <w:rPr>
          <w:color w:val="231F20"/>
        </w:rPr>
        <w:t>amount</w:t>
      </w:r>
      <w:r>
        <w:rPr>
          <w:color w:val="231F20"/>
          <w:spacing w:val="40"/>
        </w:rPr>
        <w:t> </w:t>
      </w:r>
      <w:r>
        <w:rPr>
          <w:color w:val="231F20"/>
        </w:rPr>
        <w:t>will</w:t>
      </w:r>
      <w:r>
        <w:rPr>
          <w:color w:val="231F20"/>
          <w:spacing w:val="40"/>
        </w:rPr>
        <w:t> </w:t>
      </w:r>
      <w:r>
        <w:rPr>
          <w:color w:val="231F20"/>
        </w:rPr>
        <w:t>be</w:t>
      </w:r>
      <w:r>
        <w:rPr>
          <w:color w:val="231F20"/>
          <w:spacing w:val="40"/>
        </w:rPr>
        <w:t> </w:t>
      </w:r>
      <w:r>
        <w:rPr>
          <w:color w:val="231F20"/>
        </w:rPr>
        <w:t>adjusted</w:t>
      </w:r>
      <w:r>
        <w:rPr>
          <w:color w:val="231F20"/>
          <w:spacing w:val="40"/>
        </w:rPr>
        <w:t> </w:t>
      </w:r>
      <w:r>
        <w:rPr>
          <w:color w:val="231F20"/>
        </w:rPr>
        <w:t>in</w:t>
      </w:r>
      <w:r>
        <w:rPr>
          <w:color w:val="231F20"/>
          <w:spacing w:val="40"/>
        </w:rPr>
        <w:t> </w:t>
      </w:r>
      <w:r>
        <w:rPr>
          <w:color w:val="231F20"/>
        </w:rPr>
        <w:t>accordance</w:t>
      </w:r>
      <w:r>
        <w:rPr>
          <w:color w:val="231F20"/>
          <w:spacing w:val="40"/>
        </w:rPr>
        <w:t> </w:t>
      </w:r>
      <w:r>
        <w:rPr>
          <w:color w:val="231F20"/>
        </w:rPr>
        <w:t>with</w:t>
      </w:r>
      <w:r>
        <w:rPr>
          <w:color w:val="231F20"/>
          <w:spacing w:val="40"/>
        </w:rPr>
        <w:t> </w:t>
      </w:r>
      <w:r>
        <w:rPr>
          <w:color w:val="231F20"/>
        </w:rPr>
        <w:t>the</w:t>
      </w:r>
      <w:r>
        <w:rPr>
          <w:color w:val="231F20"/>
          <w:spacing w:val="40"/>
        </w:rPr>
        <w:t> </w:t>
      </w:r>
      <w:r>
        <w:rPr>
          <w:color w:val="231F20"/>
        </w:rPr>
        <w:t>principle</w:t>
      </w:r>
      <w:r>
        <w:rPr>
          <w:color w:val="231F20"/>
          <w:spacing w:val="40"/>
        </w:rPr>
        <w:t> </w:t>
      </w:r>
      <w:r>
        <w:rPr>
          <w:color w:val="231F20"/>
        </w:rPr>
        <w:t>that</w:t>
      </w:r>
      <w:r>
        <w:rPr>
          <w:color w:val="231F20"/>
          <w:spacing w:val="40"/>
        </w:rPr>
        <w:t> </w:t>
      </w:r>
      <w:r>
        <w:rPr>
          <w:color w:val="231F20"/>
        </w:rPr>
        <w:t>the</w:t>
      </w:r>
      <w:r>
        <w:rPr>
          <w:color w:val="231F20"/>
          <w:spacing w:val="40"/>
        </w:rPr>
        <w:t> </w:t>
      </w:r>
      <w:r>
        <w:rPr>
          <w:color w:val="231F20"/>
        </w:rPr>
        <w:t>existing</w:t>
      </w:r>
      <w:r>
        <w:rPr>
          <w:color w:val="231F20"/>
          <w:spacing w:val="40"/>
        </w:rPr>
        <w:t> </w:t>
      </w:r>
      <w:r>
        <w:rPr>
          <w:color w:val="231F20"/>
        </w:rPr>
        <w:t>distribution</w:t>
      </w:r>
      <w:r>
        <w:rPr>
          <w:color w:val="231F20"/>
          <w:spacing w:val="40"/>
        </w:rPr>
        <w:t> </w:t>
      </w:r>
      <w:r>
        <w:rPr>
          <w:color w:val="231F20"/>
        </w:rPr>
        <w:t>ratio remains unchanged.</w:t>
      </w:r>
    </w:p>
    <w:p>
      <w:pPr>
        <w:pStyle w:val="BodyText"/>
        <w:spacing w:before="42"/>
      </w:pPr>
    </w:p>
    <w:p>
      <w:pPr>
        <w:pStyle w:val="BodyText"/>
        <w:spacing w:line="292" w:lineRule="auto" w:before="1"/>
        <w:ind w:left="142" w:right="134" w:firstLine="567"/>
        <w:jc w:val="both"/>
      </w:pPr>
      <w:r>
        <w:rPr>
          <w:color w:val="231F20"/>
        </w:rPr>
        <w:t>The aforesaid cash dividend is denominated and announced in RMB, and will be paid to A Shareholders</w:t>
      </w:r>
      <w:r>
        <w:rPr>
          <w:color w:val="231F20"/>
          <w:spacing w:val="40"/>
        </w:rPr>
        <w:t> </w:t>
      </w:r>
      <w:r>
        <w:rPr>
          <w:color w:val="231F20"/>
        </w:rPr>
        <w:t>in</w:t>
      </w:r>
      <w:r>
        <w:rPr>
          <w:color w:val="231F20"/>
          <w:spacing w:val="37"/>
        </w:rPr>
        <w:t> </w:t>
      </w:r>
      <w:r>
        <w:rPr>
          <w:color w:val="231F20"/>
        </w:rPr>
        <w:t>RMB,</w:t>
      </w:r>
      <w:r>
        <w:rPr>
          <w:color w:val="231F20"/>
          <w:spacing w:val="37"/>
        </w:rPr>
        <w:t> </w:t>
      </w:r>
      <w:r>
        <w:rPr>
          <w:color w:val="231F20"/>
        </w:rPr>
        <w:t>and</w:t>
      </w:r>
      <w:r>
        <w:rPr>
          <w:color w:val="231F20"/>
          <w:spacing w:val="37"/>
        </w:rPr>
        <w:t> </w:t>
      </w:r>
      <w:r>
        <w:rPr>
          <w:color w:val="231F20"/>
        </w:rPr>
        <w:t>paid</w:t>
      </w:r>
      <w:r>
        <w:rPr>
          <w:color w:val="231F20"/>
          <w:spacing w:val="37"/>
        </w:rPr>
        <w:t> </w:t>
      </w:r>
      <w:r>
        <w:rPr>
          <w:color w:val="231F20"/>
        </w:rPr>
        <w:t>to</w:t>
      </w:r>
      <w:r>
        <w:rPr>
          <w:color w:val="231F20"/>
          <w:spacing w:val="37"/>
        </w:rPr>
        <w:t> </w:t>
      </w:r>
      <w:r>
        <w:rPr>
          <w:color w:val="231F20"/>
        </w:rPr>
        <w:t>H</w:t>
      </w:r>
      <w:r>
        <w:rPr>
          <w:color w:val="231F20"/>
          <w:spacing w:val="37"/>
        </w:rPr>
        <w:t> </w:t>
      </w:r>
      <w:r>
        <w:rPr>
          <w:color w:val="231F20"/>
        </w:rPr>
        <w:t>Shareholders</w:t>
      </w:r>
      <w:r>
        <w:rPr>
          <w:color w:val="231F20"/>
          <w:spacing w:val="37"/>
        </w:rPr>
        <w:t> </w:t>
      </w:r>
      <w:r>
        <w:rPr>
          <w:color w:val="231F20"/>
        </w:rPr>
        <w:t>in</w:t>
      </w:r>
      <w:r>
        <w:rPr>
          <w:color w:val="231F20"/>
          <w:spacing w:val="37"/>
        </w:rPr>
        <w:t> </w:t>
      </w:r>
      <w:r>
        <w:rPr>
          <w:color w:val="231F20"/>
        </w:rPr>
        <w:t>Hong</w:t>
      </w:r>
      <w:r>
        <w:rPr>
          <w:color w:val="231F20"/>
          <w:spacing w:val="37"/>
        </w:rPr>
        <w:t> </w:t>
      </w:r>
      <w:r>
        <w:rPr>
          <w:color w:val="231F20"/>
        </w:rPr>
        <w:t>Kong</w:t>
      </w:r>
      <w:r>
        <w:rPr>
          <w:color w:val="231F20"/>
          <w:spacing w:val="37"/>
        </w:rPr>
        <w:t> </w:t>
      </w:r>
      <w:r>
        <w:rPr>
          <w:color w:val="231F20"/>
        </w:rPr>
        <w:t>dollars.</w:t>
      </w:r>
      <w:r>
        <w:rPr>
          <w:color w:val="231F20"/>
          <w:spacing w:val="37"/>
        </w:rPr>
        <w:t> </w:t>
      </w:r>
      <w:r>
        <w:rPr>
          <w:color w:val="231F20"/>
        </w:rPr>
        <w:t>The</w:t>
      </w:r>
      <w:r>
        <w:rPr>
          <w:color w:val="231F20"/>
          <w:spacing w:val="37"/>
        </w:rPr>
        <w:t> </w:t>
      </w:r>
      <w:r>
        <w:rPr>
          <w:color w:val="231F20"/>
        </w:rPr>
        <w:t>actual</w:t>
      </w:r>
      <w:r>
        <w:rPr>
          <w:color w:val="231F20"/>
          <w:spacing w:val="37"/>
        </w:rPr>
        <w:t> </w:t>
      </w:r>
      <w:r>
        <w:rPr>
          <w:color w:val="231F20"/>
        </w:rPr>
        <w:t>amount</w:t>
      </w:r>
      <w:r>
        <w:rPr>
          <w:color w:val="231F20"/>
          <w:spacing w:val="37"/>
        </w:rPr>
        <w:t> </w:t>
      </w:r>
      <w:r>
        <w:rPr>
          <w:color w:val="231F20"/>
        </w:rPr>
        <w:t>distributed</w:t>
      </w:r>
      <w:r>
        <w:rPr>
          <w:color w:val="231F20"/>
          <w:spacing w:val="37"/>
        </w:rPr>
        <w:t> </w:t>
      </w:r>
      <w:r>
        <w:rPr>
          <w:color w:val="231F20"/>
        </w:rPr>
        <w:t>in</w:t>
      </w:r>
      <w:r>
        <w:rPr>
          <w:color w:val="231F20"/>
          <w:spacing w:val="37"/>
        </w:rPr>
        <w:t> </w:t>
      </w:r>
      <w:r>
        <w:rPr>
          <w:color w:val="231F20"/>
        </w:rPr>
        <w:t>Hong</w:t>
      </w:r>
      <w:r>
        <w:rPr>
          <w:color w:val="231F20"/>
          <w:spacing w:val="37"/>
        </w:rPr>
        <w:t> </w:t>
      </w:r>
      <w:r>
        <w:rPr>
          <w:color w:val="231F20"/>
        </w:rPr>
        <w:t>Kong dollars shall be calculated based on the exchange rate of RMB against Hong Kong dollars published by the People’s</w:t>
      </w:r>
      <w:r>
        <w:rPr>
          <w:color w:val="231F20"/>
          <w:spacing w:val="40"/>
        </w:rPr>
        <w:t> </w:t>
      </w:r>
      <w:r>
        <w:rPr>
          <w:color w:val="231F20"/>
        </w:rPr>
        <w:t>Bank</w:t>
      </w:r>
      <w:r>
        <w:rPr>
          <w:color w:val="231F20"/>
          <w:spacing w:val="40"/>
        </w:rPr>
        <w:t> </w:t>
      </w:r>
      <w:r>
        <w:rPr>
          <w:color w:val="231F20"/>
        </w:rPr>
        <w:t>of</w:t>
      </w:r>
      <w:r>
        <w:rPr>
          <w:color w:val="231F20"/>
          <w:spacing w:val="40"/>
        </w:rPr>
        <w:t> </w:t>
      </w:r>
      <w:r>
        <w:rPr>
          <w:color w:val="231F20"/>
        </w:rPr>
        <w:t>China</w:t>
      </w:r>
      <w:r>
        <w:rPr>
          <w:color w:val="231F20"/>
          <w:spacing w:val="40"/>
        </w:rPr>
        <w:t> </w:t>
      </w:r>
      <w:r>
        <w:rPr>
          <w:color w:val="231F20"/>
        </w:rPr>
        <w:t>on</w:t>
      </w:r>
      <w:r>
        <w:rPr>
          <w:color w:val="231F20"/>
          <w:spacing w:val="40"/>
        </w:rPr>
        <w:t> </w:t>
      </w:r>
      <w:r>
        <w:rPr>
          <w:color w:val="231F20"/>
        </w:rPr>
        <w:t>the</w:t>
      </w:r>
      <w:r>
        <w:rPr>
          <w:color w:val="231F20"/>
          <w:spacing w:val="40"/>
        </w:rPr>
        <w:t> </w:t>
      </w:r>
      <w:r>
        <w:rPr>
          <w:color w:val="231F20"/>
        </w:rPr>
        <w:t>day</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2025</w:t>
      </w:r>
      <w:r>
        <w:rPr>
          <w:color w:val="231F20"/>
          <w:spacing w:val="40"/>
        </w:rPr>
        <w:t> </w:t>
      </w:r>
      <w:r>
        <w:rPr>
          <w:color w:val="231F20"/>
        </w:rPr>
        <w:t>Second</w:t>
      </w:r>
      <w:r>
        <w:rPr>
          <w:color w:val="231F20"/>
          <w:spacing w:val="40"/>
        </w:rPr>
        <w:t> </w:t>
      </w:r>
      <w:r>
        <w:rPr>
          <w:color w:val="231F20"/>
        </w:rPr>
        <w:t>EGM.</w:t>
      </w:r>
    </w:p>
    <w:p>
      <w:pPr>
        <w:pStyle w:val="BodyText"/>
        <w:spacing w:before="47"/>
      </w:pPr>
    </w:p>
    <w:p>
      <w:pPr>
        <w:pStyle w:val="BodyText"/>
        <w:spacing w:line="292" w:lineRule="auto"/>
        <w:ind w:left="142" w:right="129" w:firstLine="567"/>
        <w:jc w:val="both"/>
      </w:pPr>
      <w:r>
        <w:rPr>
          <w:color w:val="231F20"/>
        </w:rPr>
        <w:t>The</w:t>
      </w:r>
      <w:r>
        <w:rPr>
          <w:color w:val="231F20"/>
          <w:spacing w:val="24"/>
        </w:rPr>
        <w:t> </w:t>
      </w:r>
      <w:r>
        <w:rPr>
          <w:color w:val="231F20"/>
        </w:rPr>
        <w:t>proposal</w:t>
      </w:r>
      <w:r>
        <w:rPr>
          <w:color w:val="231F20"/>
          <w:spacing w:val="24"/>
        </w:rPr>
        <w:t> </w:t>
      </w:r>
      <w:r>
        <w:rPr>
          <w:color w:val="231F20"/>
        </w:rPr>
        <w:t>has</w:t>
      </w:r>
      <w:r>
        <w:rPr>
          <w:color w:val="231F20"/>
          <w:spacing w:val="24"/>
        </w:rPr>
        <w:t> </w:t>
      </w:r>
      <w:r>
        <w:rPr>
          <w:color w:val="231F20"/>
        </w:rPr>
        <w:t>been</w:t>
      </w:r>
      <w:r>
        <w:rPr>
          <w:color w:val="231F20"/>
          <w:spacing w:val="24"/>
        </w:rPr>
        <w:t> </w:t>
      </w:r>
      <w:r>
        <w:rPr>
          <w:color w:val="231F20"/>
        </w:rPr>
        <w:t>considered</w:t>
      </w:r>
      <w:r>
        <w:rPr>
          <w:color w:val="231F20"/>
          <w:spacing w:val="24"/>
        </w:rPr>
        <w:t> </w:t>
      </w:r>
      <w:r>
        <w:rPr>
          <w:color w:val="231F20"/>
        </w:rPr>
        <w:t>and</w:t>
      </w:r>
      <w:r>
        <w:rPr>
          <w:color w:val="231F20"/>
          <w:spacing w:val="24"/>
        </w:rPr>
        <w:t> </w:t>
      </w:r>
      <w:r>
        <w:rPr>
          <w:color w:val="231F20"/>
        </w:rPr>
        <w:t>approved</w:t>
      </w:r>
      <w:r>
        <w:rPr>
          <w:color w:val="231F20"/>
          <w:spacing w:val="24"/>
        </w:rPr>
        <w:t> </w:t>
      </w:r>
      <w:r>
        <w:rPr>
          <w:color w:val="231F20"/>
        </w:rPr>
        <w:t>at</w:t>
      </w:r>
      <w:r>
        <w:rPr>
          <w:color w:val="231F20"/>
          <w:spacing w:val="24"/>
        </w:rPr>
        <w:t> </w:t>
      </w:r>
      <w:r>
        <w:rPr>
          <w:color w:val="231F20"/>
        </w:rPr>
        <w:t>the</w:t>
      </w:r>
      <w:r>
        <w:rPr>
          <w:color w:val="231F20"/>
          <w:spacing w:val="24"/>
        </w:rPr>
        <w:t> </w:t>
      </w:r>
      <w:r>
        <w:rPr>
          <w:color w:val="231F20"/>
        </w:rPr>
        <w:t>30th</w:t>
      </w:r>
      <w:r>
        <w:rPr>
          <w:color w:val="231F20"/>
          <w:spacing w:val="24"/>
        </w:rPr>
        <w:t> </w:t>
      </w:r>
      <w:r>
        <w:rPr>
          <w:color w:val="231F20"/>
        </w:rPr>
        <w:t>meeting</w:t>
      </w:r>
      <w:r>
        <w:rPr>
          <w:color w:val="231F20"/>
          <w:spacing w:val="24"/>
        </w:rPr>
        <w:t> </w:t>
      </w:r>
      <w:r>
        <w:rPr>
          <w:color w:val="231F20"/>
        </w:rPr>
        <w:t>of</w:t>
      </w:r>
      <w:r>
        <w:rPr>
          <w:color w:val="231F20"/>
          <w:spacing w:val="24"/>
        </w:rPr>
        <w:t> </w:t>
      </w:r>
      <w:r>
        <w:rPr>
          <w:color w:val="231F20"/>
        </w:rPr>
        <w:t>the</w:t>
      </w:r>
      <w:r>
        <w:rPr>
          <w:color w:val="231F20"/>
          <w:spacing w:val="24"/>
        </w:rPr>
        <w:t> </w:t>
      </w:r>
      <w:r>
        <w:rPr>
          <w:color w:val="231F20"/>
        </w:rPr>
        <w:t>fifth</w:t>
      </w:r>
      <w:r>
        <w:rPr>
          <w:color w:val="231F20"/>
          <w:spacing w:val="24"/>
        </w:rPr>
        <w:t> </w:t>
      </w:r>
      <w:r>
        <w:rPr>
          <w:color w:val="231F20"/>
        </w:rPr>
        <w:t>session</w:t>
      </w:r>
      <w:r>
        <w:rPr>
          <w:color w:val="231F20"/>
          <w:spacing w:val="24"/>
        </w:rPr>
        <w:t> </w:t>
      </w:r>
      <w:r>
        <w:rPr>
          <w:color w:val="231F20"/>
        </w:rPr>
        <w:t>of</w:t>
      </w:r>
      <w:r>
        <w:rPr>
          <w:color w:val="231F20"/>
          <w:spacing w:val="24"/>
        </w:rPr>
        <w:t> </w:t>
      </w:r>
      <w:r>
        <w:rPr>
          <w:color w:val="231F20"/>
        </w:rPr>
        <w:t>the</w:t>
      </w:r>
      <w:r>
        <w:rPr>
          <w:color w:val="231F20"/>
          <w:spacing w:val="24"/>
        </w:rPr>
        <w:t> </w:t>
      </w:r>
      <w:r>
        <w:rPr>
          <w:color w:val="231F20"/>
        </w:rPr>
        <w:t>Board. If this proposal is approved at the 2025 Second EGM, the above profit distribution plan shall be implemented within two months from the date of the 2025 Second EGM, and the Company will separately announce the arrangements in relation to the distribution of 2025 Interim Dividend, including the record date for dividend distribution</w:t>
      </w:r>
      <w:r>
        <w:rPr>
          <w:color w:val="231F20"/>
          <w:spacing w:val="40"/>
        </w:rPr>
        <w:t> </w:t>
      </w:r>
      <w:r>
        <w:rPr>
          <w:color w:val="231F20"/>
        </w:rPr>
        <w:t>and</w:t>
      </w:r>
      <w:r>
        <w:rPr>
          <w:color w:val="231F20"/>
          <w:spacing w:val="40"/>
        </w:rPr>
        <w:t> </w:t>
      </w:r>
      <w:r>
        <w:rPr>
          <w:color w:val="231F20"/>
        </w:rPr>
        <w:t>the</w:t>
      </w:r>
      <w:r>
        <w:rPr>
          <w:color w:val="231F20"/>
          <w:spacing w:val="40"/>
        </w:rPr>
        <w:t> </w:t>
      </w:r>
      <w:r>
        <w:rPr>
          <w:color w:val="231F20"/>
        </w:rPr>
        <w:t>period</w:t>
      </w:r>
      <w:r>
        <w:rPr>
          <w:color w:val="231F20"/>
          <w:spacing w:val="40"/>
        </w:rPr>
        <w:t> </w:t>
      </w:r>
      <w:r>
        <w:rPr>
          <w:color w:val="231F20"/>
        </w:rPr>
        <w:t>for</w:t>
      </w:r>
      <w:r>
        <w:rPr>
          <w:color w:val="231F20"/>
          <w:spacing w:val="40"/>
        </w:rPr>
        <w:t> </w:t>
      </w:r>
      <w:r>
        <w:rPr>
          <w:color w:val="231F20"/>
        </w:rPr>
        <w:t>closure</w:t>
      </w:r>
      <w:r>
        <w:rPr>
          <w:color w:val="231F20"/>
          <w:spacing w:val="40"/>
        </w:rPr>
        <w:t> </w:t>
      </w:r>
      <w:r>
        <w:rPr>
          <w:color w:val="231F20"/>
        </w:rPr>
        <w:t>of</w:t>
      </w:r>
      <w:r>
        <w:rPr>
          <w:color w:val="231F20"/>
          <w:spacing w:val="40"/>
        </w:rPr>
        <w:t> </w:t>
      </w:r>
      <w:r>
        <w:rPr>
          <w:color w:val="231F20"/>
        </w:rPr>
        <w:t>register</w:t>
      </w:r>
      <w:r>
        <w:rPr>
          <w:color w:val="231F20"/>
          <w:spacing w:val="40"/>
        </w:rPr>
        <w:t> </w:t>
      </w:r>
      <w:r>
        <w:rPr>
          <w:color w:val="231F20"/>
        </w:rPr>
        <w:t>of</w:t>
      </w:r>
      <w:r>
        <w:rPr>
          <w:color w:val="231F20"/>
          <w:spacing w:val="40"/>
        </w:rPr>
        <w:t> </w:t>
      </w:r>
      <w:r>
        <w:rPr>
          <w:color w:val="231F20"/>
        </w:rPr>
        <w:t>members.</w:t>
      </w:r>
    </w:p>
    <w:p>
      <w:pPr>
        <w:pStyle w:val="BodyText"/>
        <w:spacing w:after="0" w:line="292" w:lineRule="auto"/>
        <w:jc w:val="both"/>
        <w:sectPr>
          <w:headerReference w:type="default" r:id="rId14"/>
          <w:footerReference w:type="default" r:id="rId15"/>
          <w:pgSz w:w="11910" w:h="15880"/>
          <w:pgMar w:header="567" w:footer="573" w:top="1300" w:bottom="760" w:left="1275" w:right="1275"/>
          <w:pgNumType w:start="1"/>
        </w:sectPr>
      </w:pPr>
    </w:p>
    <w:p>
      <w:pPr>
        <w:pStyle w:val="BodyText"/>
        <w:spacing w:before="144"/>
      </w:pPr>
    </w:p>
    <w:p>
      <w:pPr>
        <w:spacing w:before="1"/>
        <w:ind w:left="709" w:right="0" w:firstLine="0"/>
        <w:jc w:val="left"/>
        <w:rPr>
          <w:b/>
          <w:sz w:val="20"/>
        </w:rPr>
      </w:pPr>
      <w:r>
        <w:rPr>
          <w:b/>
          <w:color w:val="231F20"/>
          <w:sz w:val="20"/>
        </w:rPr>
        <w:t>Tax</w:t>
      </w:r>
      <w:r>
        <w:rPr>
          <w:b/>
          <w:color w:val="231F20"/>
          <w:spacing w:val="29"/>
          <w:sz w:val="20"/>
        </w:rPr>
        <w:t> </w:t>
      </w:r>
      <w:r>
        <w:rPr>
          <w:b/>
          <w:color w:val="231F20"/>
          <w:sz w:val="20"/>
        </w:rPr>
        <w:t>Relief</w:t>
      </w:r>
      <w:r>
        <w:rPr>
          <w:b/>
          <w:color w:val="231F20"/>
          <w:spacing w:val="29"/>
          <w:sz w:val="20"/>
        </w:rPr>
        <w:t> </w:t>
      </w:r>
      <w:r>
        <w:rPr>
          <w:b/>
          <w:color w:val="231F20"/>
          <w:sz w:val="20"/>
        </w:rPr>
        <w:t>and</w:t>
      </w:r>
      <w:r>
        <w:rPr>
          <w:b/>
          <w:color w:val="231F20"/>
          <w:spacing w:val="29"/>
          <w:sz w:val="20"/>
        </w:rPr>
        <w:t> </w:t>
      </w:r>
      <w:r>
        <w:rPr>
          <w:b/>
          <w:color w:val="231F20"/>
          <w:sz w:val="20"/>
        </w:rPr>
        <w:t>Exemption</w:t>
      </w:r>
      <w:r>
        <w:rPr>
          <w:b/>
          <w:color w:val="231F20"/>
          <w:spacing w:val="30"/>
          <w:sz w:val="20"/>
        </w:rPr>
        <w:t> </w:t>
      </w:r>
      <w:r>
        <w:rPr>
          <w:b/>
          <w:color w:val="231F20"/>
          <w:sz w:val="20"/>
        </w:rPr>
        <w:t>of</w:t>
      </w:r>
      <w:r>
        <w:rPr>
          <w:b/>
          <w:color w:val="231F20"/>
          <w:spacing w:val="29"/>
          <w:sz w:val="20"/>
        </w:rPr>
        <w:t> </w:t>
      </w:r>
      <w:r>
        <w:rPr>
          <w:b/>
          <w:color w:val="231F20"/>
          <w:sz w:val="20"/>
        </w:rPr>
        <w:t>Dividend</w:t>
      </w:r>
      <w:r>
        <w:rPr>
          <w:b/>
          <w:color w:val="231F20"/>
          <w:spacing w:val="29"/>
          <w:sz w:val="20"/>
        </w:rPr>
        <w:t> </w:t>
      </w:r>
      <w:r>
        <w:rPr>
          <w:b/>
          <w:color w:val="231F20"/>
          <w:sz w:val="20"/>
        </w:rPr>
        <w:t>Income</w:t>
      </w:r>
      <w:r>
        <w:rPr>
          <w:b/>
          <w:color w:val="231F20"/>
          <w:spacing w:val="29"/>
          <w:sz w:val="20"/>
        </w:rPr>
        <w:t> </w:t>
      </w:r>
      <w:r>
        <w:rPr>
          <w:b/>
          <w:color w:val="231F20"/>
          <w:sz w:val="20"/>
        </w:rPr>
        <w:t>of</w:t>
      </w:r>
      <w:r>
        <w:rPr>
          <w:b/>
          <w:color w:val="231F20"/>
          <w:spacing w:val="30"/>
          <w:sz w:val="20"/>
        </w:rPr>
        <w:t> </w:t>
      </w:r>
      <w:r>
        <w:rPr>
          <w:b/>
          <w:color w:val="231F20"/>
          <w:sz w:val="20"/>
        </w:rPr>
        <w:t>Holders</w:t>
      </w:r>
      <w:r>
        <w:rPr>
          <w:b/>
          <w:color w:val="231F20"/>
          <w:spacing w:val="29"/>
          <w:sz w:val="20"/>
        </w:rPr>
        <w:t> </w:t>
      </w:r>
      <w:r>
        <w:rPr>
          <w:b/>
          <w:color w:val="231F20"/>
          <w:sz w:val="20"/>
        </w:rPr>
        <w:t>of</w:t>
      </w:r>
      <w:r>
        <w:rPr>
          <w:b/>
          <w:color w:val="231F20"/>
          <w:spacing w:val="29"/>
          <w:sz w:val="20"/>
        </w:rPr>
        <w:t> </w:t>
      </w:r>
      <w:r>
        <w:rPr>
          <w:b/>
          <w:color w:val="231F20"/>
          <w:sz w:val="20"/>
        </w:rPr>
        <w:t>Listed</w:t>
      </w:r>
      <w:r>
        <w:rPr>
          <w:b/>
          <w:color w:val="231F20"/>
          <w:spacing w:val="29"/>
          <w:sz w:val="20"/>
        </w:rPr>
        <w:t> </w:t>
      </w:r>
      <w:r>
        <w:rPr>
          <w:b/>
          <w:color w:val="231F20"/>
          <w:spacing w:val="-2"/>
          <w:sz w:val="20"/>
        </w:rPr>
        <w:t>Securities</w:t>
      </w:r>
    </w:p>
    <w:p>
      <w:pPr>
        <w:pStyle w:val="BodyText"/>
        <w:spacing w:before="100"/>
        <w:rPr>
          <w:b/>
        </w:rPr>
      </w:pPr>
    </w:p>
    <w:p>
      <w:pPr>
        <w:pStyle w:val="Heading5"/>
        <w:ind w:left="709" w:firstLine="0"/>
        <w:rPr>
          <w:i/>
        </w:rPr>
      </w:pPr>
      <w:r>
        <w:rPr>
          <w:i/>
          <w:color w:val="231F20"/>
          <w:w w:val="105"/>
        </w:rPr>
        <w:t>A</w:t>
      </w:r>
      <w:r>
        <w:rPr>
          <w:i/>
          <w:color w:val="231F20"/>
          <w:spacing w:val="11"/>
          <w:w w:val="105"/>
        </w:rPr>
        <w:t> </w:t>
      </w:r>
      <w:r>
        <w:rPr>
          <w:i/>
          <w:color w:val="231F20"/>
          <w:spacing w:val="-2"/>
          <w:w w:val="105"/>
        </w:rPr>
        <w:t>Shareholders</w:t>
      </w:r>
    </w:p>
    <w:p>
      <w:pPr>
        <w:pStyle w:val="BodyText"/>
        <w:spacing w:before="100"/>
        <w:rPr>
          <w:b/>
          <w:i/>
        </w:rPr>
      </w:pPr>
    </w:p>
    <w:p>
      <w:pPr>
        <w:pStyle w:val="ListParagraph"/>
        <w:numPr>
          <w:ilvl w:val="1"/>
          <w:numId w:val="5"/>
        </w:numPr>
        <w:tabs>
          <w:tab w:pos="1276" w:val="left" w:leader="none"/>
        </w:tabs>
        <w:spacing w:line="240" w:lineRule="auto" w:before="0" w:after="0"/>
        <w:ind w:left="1276" w:right="0" w:hanging="567"/>
        <w:jc w:val="left"/>
        <w:rPr>
          <w:i/>
          <w:sz w:val="20"/>
        </w:rPr>
      </w:pPr>
      <w:r>
        <w:rPr>
          <w:i/>
          <w:color w:val="231F20"/>
          <w:sz w:val="20"/>
        </w:rPr>
        <w:t>Individual</w:t>
      </w:r>
      <w:r>
        <w:rPr>
          <w:i/>
          <w:color w:val="231F20"/>
          <w:spacing w:val="48"/>
          <w:sz w:val="20"/>
        </w:rPr>
        <w:t> </w:t>
      </w:r>
      <w:r>
        <w:rPr>
          <w:i/>
          <w:color w:val="231F20"/>
          <w:sz w:val="20"/>
        </w:rPr>
        <w:t>Investors</w:t>
      </w:r>
      <w:r>
        <w:rPr>
          <w:i/>
          <w:color w:val="231F20"/>
          <w:spacing w:val="48"/>
          <w:sz w:val="20"/>
        </w:rPr>
        <w:t> </w:t>
      </w:r>
      <w:r>
        <w:rPr>
          <w:i/>
          <w:color w:val="231F20"/>
          <w:sz w:val="20"/>
        </w:rPr>
        <w:t>and</w:t>
      </w:r>
      <w:r>
        <w:rPr>
          <w:i/>
          <w:color w:val="231F20"/>
          <w:spacing w:val="48"/>
          <w:sz w:val="20"/>
        </w:rPr>
        <w:t> </w:t>
      </w:r>
      <w:r>
        <w:rPr>
          <w:i/>
          <w:color w:val="231F20"/>
          <w:sz w:val="20"/>
        </w:rPr>
        <w:t>Securities</w:t>
      </w:r>
      <w:r>
        <w:rPr>
          <w:i/>
          <w:color w:val="231F20"/>
          <w:spacing w:val="48"/>
          <w:sz w:val="20"/>
        </w:rPr>
        <w:t> </w:t>
      </w:r>
      <w:r>
        <w:rPr>
          <w:i/>
          <w:color w:val="231F20"/>
          <w:sz w:val="20"/>
        </w:rPr>
        <w:t>Investment</w:t>
      </w:r>
      <w:r>
        <w:rPr>
          <w:i/>
          <w:color w:val="231F20"/>
          <w:spacing w:val="48"/>
          <w:sz w:val="20"/>
        </w:rPr>
        <w:t> </w:t>
      </w:r>
      <w:r>
        <w:rPr>
          <w:i/>
          <w:color w:val="231F20"/>
          <w:spacing w:val="-2"/>
          <w:sz w:val="20"/>
        </w:rPr>
        <w:t>Funds</w:t>
      </w:r>
    </w:p>
    <w:p>
      <w:pPr>
        <w:pStyle w:val="BodyText"/>
        <w:spacing w:before="62"/>
        <w:rPr>
          <w:i/>
        </w:rPr>
      </w:pPr>
    </w:p>
    <w:p>
      <w:pPr>
        <w:pStyle w:val="BodyText"/>
        <w:spacing w:line="280" w:lineRule="exact" w:before="1"/>
        <w:ind w:left="709" w:right="132" w:firstLine="567"/>
        <w:jc w:val="both"/>
      </w:pPr>
      <w:r>
        <w:rPr>
          <w:color w:val="231F20"/>
        </w:rPr>
        <w:t>Pursuant</w:t>
      </w:r>
      <w:r>
        <w:rPr>
          <w:color w:val="231F20"/>
          <w:spacing w:val="-3"/>
        </w:rPr>
        <w:t> </w:t>
      </w:r>
      <w:r>
        <w:rPr>
          <w:color w:val="231F20"/>
        </w:rPr>
        <w:t>to</w:t>
      </w:r>
      <w:r>
        <w:rPr>
          <w:color w:val="231F20"/>
          <w:spacing w:val="-3"/>
        </w:rPr>
        <w:t> </w:t>
      </w:r>
      <w:r>
        <w:rPr>
          <w:color w:val="231F20"/>
        </w:rPr>
        <w:t>the</w:t>
      </w:r>
      <w:r>
        <w:rPr>
          <w:color w:val="231F20"/>
          <w:spacing w:val="-3"/>
        </w:rPr>
        <w:t> </w:t>
      </w:r>
      <w:r>
        <w:rPr>
          <w:color w:val="231F20"/>
        </w:rPr>
        <w:t>provisions</w:t>
      </w:r>
      <w:r>
        <w:rPr>
          <w:color w:val="231F20"/>
          <w:spacing w:val="-3"/>
        </w:rPr>
        <w:t> </w:t>
      </w:r>
      <w:r>
        <w:rPr>
          <w:color w:val="231F20"/>
        </w:rPr>
        <w:t>of</w:t>
      </w:r>
      <w:r>
        <w:rPr>
          <w:color w:val="231F20"/>
          <w:spacing w:val="-3"/>
        </w:rPr>
        <w:t> </w:t>
      </w:r>
      <w:r>
        <w:rPr>
          <w:color w:val="231F20"/>
        </w:rPr>
        <w:t>the</w:t>
      </w:r>
      <w:r>
        <w:rPr>
          <w:color w:val="231F20"/>
          <w:spacing w:val="-3"/>
        </w:rPr>
        <w:t> </w:t>
      </w:r>
      <w:r>
        <w:rPr>
          <w:color w:val="231F20"/>
        </w:rPr>
        <w:t>Notice</w:t>
      </w:r>
      <w:r>
        <w:rPr>
          <w:color w:val="231F20"/>
          <w:spacing w:val="-3"/>
        </w:rPr>
        <w:t> </w:t>
      </w:r>
      <w:r>
        <w:rPr>
          <w:color w:val="231F20"/>
        </w:rPr>
        <w:t>on</w:t>
      </w:r>
      <w:r>
        <w:rPr>
          <w:color w:val="231F20"/>
          <w:spacing w:val="-3"/>
        </w:rPr>
        <w:t> </w:t>
      </w:r>
      <w:r>
        <w:rPr>
          <w:color w:val="231F20"/>
        </w:rPr>
        <w:t>Issues</w:t>
      </w:r>
      <w:r>
        <w:rPr>
          <w:color w:val="231F20"/>
          <w:spacing w:val="-3"/>
        </w:rPr>
        <w:t> </w:t>
      </w:r>
      <w:r>
        <w:rPr>
          <w:color w:val="231F20"/>
        </w:rPr>
        <w:t>Concerning</w:t>
      </w:r>
      <w:r>
        <w:rPr>
          <w:color w:val="231F20"/>
          <w:spacing w:val="-3"/>
        </w:rPr>
        <w:t> </w:t>
      </w:r>
      <w:r>
        <w:rPr>
          <w:color w:val="231F20"/>
        </w:rPr>
        <w:t>the</w:t>
      </w:r>
      <w:r>
        <w:rPr>
          <w:color w:val="231F20"/>
          <w:spacing w:val="-3"/>
        </w:rPr>
        <w:t> </w:t>
      </w:r>
      <w:r>
        <w:rPr>
          <w:color w:val="231F20"/>
        </w:rPr>
        <w:t>Implementation</w:t>
      </w:r>
      <w:r>
        <w:rPr>
          <w:color w:val="231F20"/>
          <w:spacing w:val="-3"/>
        </w:rPr>
        <w:t> </w:t>
      </w:r>
      <w:r>
        <w:rPr>
          <w:color w:val="231F20"/>
        </w:rPr>
        <w:t>of</w:t>
      </w:r>
      <w:r>
        <w:rPr>
          <w:color w:val="231F20"/>
          <w:spacing w:val="-3"/>
        </w:rPr>
        <w:t> </w:t>
      </w:r>
      <w:r>
        <w:rPr>
          <w:color w:val="231F20"/>
        </w:rPr>
        <w:t>Differentiated Individual Income Tax Policies on Dividends and Bonuses of Listed Companies (Cai Shui [2012] No.</w:t>
      </w:r>
      <w:r>
        <w:rPr>
          <w:color w:val="231F20"/>
          <w:spacing w:val="80"/>
          <w:w w:val="150"/>
        </w:rPr>
        <w:t> </w:t>
      </w:r>
      <w:r>
        <w:rPr>
          <w:color w:val="231F20"/>
        </w:rPr>
        <w:t>85) (</w:t>
      </w:r>
      <w:r>
        <w:rPr>
          <w:rFonts w:ascii="新細明體" w:eastAsia="新細明體"/>
          <w:color w:val="231F20"/>
        </w:rPr>
        <w:t>《關於實施上市公司股息紅利差別化個人所得稅政策有關問題的通知》</w:t>
      </w:r>
      <w:r>
        <w:rPr>
          <w:color w:val="231F20"/>
        </w:rPr>
        <w:t>(</w:t>
      </w:r>
      <w:r>
        <w:rPr>
          <w:rFonts w:ascii="新細明體" w:eastAsia="新細明體"/>
          <w:color w:val="231F20"/>
        </w:rPr>
        <w:t>財稅</w:t>
      </w:r>
      <w:r>
        <w:rPr>
          <w:color w:val="231F20"/>
        </w:rPr>
        <w:t>[2012]85</w:t>
      </w:r>
      <w:r>
        <w:rPr>
          <w:rFonts w:ascii="新細明體" w:eastAsia="新細明體"/>
          <w:color w:val="231F20"/>
        </w:rPr>
        <w:t>號</w:t>
      </w:r>
      <w:r>
        <w:rPr>
          <w:color w:val="231F20"/>
        </w:rPr>
        <w:t>)) and the Notice on Issues Concerning the Differentiated Individual Income Tax Policies on Dividends </w:t>
      </w:r>
      <w:r>
        <w:rPr>
          <w:color w:val="231F20"/>
        </w:rPr>
        <w:t>and Bonuses</w:t>
      </w:r>
      <w:r>
        <w:rPr>
          <w:color w:val="231F20"/>
          <w:spacing w:val="23"/>
        </w:rPr>
        <w:t> </w:t>
      </w:r>
      <w:r>
        <w:rPr>
          <w:color w:val="231F20"/>
        </w:rPr>
        <w:t>of</w:t>
      </w:r>
      <w:r>
        <w:rPr>
          <w:color w:val="231F20"/>
          <w:spacing w:val="23"/>
        </w:rPr>
        <w:t> </w:t>
      </w:r>
      <w:r>
        <w:rPr>
          <w:color w:val="231F20"/>
        </w:rPr>
        <w:t>Listed</w:t>
      </w:r>
      <w:r>
        <w:rPr>
          <w:color w:val="231F20"/>
          <w:spacing w:val="23"/>
        </w:rPr>
        <w:t> </w:t>
      </w:r>
      <w:r>
        <w:rPr>
          <w:color w:val="231F20"/>
        </w:rPr>
        <w:t>Companies</w:t>
      </w:r>
      <w:r>
        <w:rPr>
          <w:color w:val="231F20"/>
          <w:spacing w:val="23"/>
        </w:rPr>
        <w:t> </w:t>
      </w:r>
      <w:r>
        <w:rPr>
          <w:color w:val="231F20"/>
        </w:rPr>
        <w:t>(Cai</w:t>
      </w:r>
      <w:r>
        <w:rPr>
          <w:color w:val="231F20"/>
          <w:spacing w:val="23"/>
        </w:rPr>
        <w:t> </w:t>
      </w:r>
      <w:r>
        <w:rPr>
          <w:color w:val="231F20"/>
        </w:rPr>
        <w:t>Shui</w:t>
      </w:r>
      <w:r>
        <w:rPr>
          <w:color w:val="231F20"/>
          <w:spacing w:val="23"/>
        </w:rPr>
        <w:t> </w:t>
      </w:r>
      <w:r>
        <w:rPr>
          <w:color w:val="231F20"/>
        </w:rPr>
        <w:t>[2015</w:t>
      </w:r>
      <w:r>
        <w:rPr>
          <w:color w:val="231F20"/>
          <w:spacing w:val="11"/>
        </w:rPr>
        <w:t>] </w:t>
      </w:r>
      <w:r>
        <w:rPr>
          <w:color w:val="231F20"/>
        </w:rPr>
        <w:t>No</w:t>
      </w:r>
      <w:r>
        <w:rPr>
          <w:color w:val="231F20"/>
          <w:spacing w:val="11"/>
        </w:rPr>
        <w:t>. </w:t>
      </w:r>
      <w:r>
        <w:rPr>
          <w:color w:val="231F20"/>
        </w:rPr>
        <w:t>101</w:t>
      </w:r>
      <w:r>
        <w:rPr>
          <w:color w:val="231F20"/>
          <w:spacing w:val="7"/>
        </w:rPr>
        <w:t>) (</w:t>
      </w:r>
      <w:r>
        <w:rPr>
          <w:rFonts w:ascii="新細明體" w:eastAsia="新細明體"/>
          <w:color w:val="231F20"/>
        </w:rPr>
        <w:t>《關於上市公司股息紅利差別化個人所得稅政策有關問題的通知》</w:t>
      </w:r>
      <w:r>
        <w:rPr>
          <w:color w:val="231F20"/>
        </w:rPr>
        <w:t>(</w:t>
      </w:r>
      <w:r>
        <w:rPr>
          <w:rFonts w:ascii="新細明體" w:eastAsia="新細明體"/>
          <w:color w:val="231F20"/>
        </w:rPr>
        <w:t>財稅</w:t>
      </w:r>
      <w:r>
        <w:rPr>
          <w:color w:val="231F20"/>
        </w:rPr>
        <w:t>[2015]101</w:t>
      </w:r>
      <w:r>
        <w:rPr>
          <w:rFonts w:ascii="新細明體" w:eastAsia="新細明體"/>
          <w:color w:val="231F20"/>
        </w:rPr>
        <w:t>號</w:t>
      </w:r>
      <w:r>
        <w:rPr>
          <w:color w:val="231F20"/>
        </w:rPr>
        <w:t>)) issued by the Ministry of Finance (</w:t>
      </w:r>
      <w:r>
        <w:rPr>
          <w:rFonts w:ascii="新細明體" w:eastAsia="新細明體"/>
          <w:color w:val="231F20"/>
        </w:rPr>
        <w:t>財政部</w:t>
      </w:r>
      <w:r>
        <w:rPr>
          <w:color w:val="231F20"/>
        </w:rPr>
        <w:t>), the State Administration</w:t>
      </w:r>
      <w:r>
        <w:rPr>
          <w:color w:val="231F20"/>
          <w:spacing w:val="39"/>
        </w:rPr>
        <w:t> </w:t>
      </w:r>
      <w:r>
        <w:rPr>
          <w:color w:val="231F20"/>
        </w:rPr>
        <w:t>of</w:t>
      </w:r>
      <w:r>
        <w:rPr>
          <w:color w:val="231F20"/>
          <w:spacing w:val="39"/>
        </w:rPr>
        <w:t> </w:t>
      </w:r>
      <w:r>
        <w:rPr>
          <w:color w:val="231F20"/>
        </w:rPr>
        <w:t>Taxation</w:t>
      </w:r>
      <w:r>
        <w:rPr>
          <w:color w:val="231F20"/>
          <w:spacing w:val="19"/>
        </w:rPr>
        <w:t> (</w:t>
      </w:r>
      <w:r>
        <w:rPr>
          <w:rFonts w:ascii="新細明體" w:eastAsia="新細明體"/>
          <w:color w:val="231F20"/>
        </w:rPr>
        <w:t>國家稅務總局</w:t>
      </w:r>
      <w:r>
        <w:rPr>
          <w:color w:val="231F20"/>
          <w:spacing w:val="19"/>
        </w:rPr>
        <w:t>) </w:t>
      </w:r>
      <w:r>
        <w:rPr>
          <w:color w:val="231F20"/>
        </w:rPr>
        <w:t>and</w:t>
      </w:r>
      <w:r>
        <w:rPr>
          <w:color w:val="231F20"/>
          <w:spacing w:val="39"/>
        </w:rPr>
        <w:t> </w:t>
      </w:r>
      <w:r>
        <w:rPr>
          <w:color w:val="231F20"/>
        </w:rPr>
        <w:t>the</w:t>
      </w:r>
      <w:r>
        <w:rPr>
          <w:color w:val="231F20"/>
          <w:spacing w:val="39"/>
        </w:rPr>
        <w:t> </w:t>
      </w:r>
      <w:r>
        <w:rPr>
          <w:color w:val="231F20"/>
        </w:rPr>
        <w:t>China</w:t>
      </w:r>
      <w:r>
        <w:rPr>
          <w:color w:val="231F20"/>
          <w:spacing w:val="39"/>
        </w:rPr>
        <w:t> </w:t>
      </w:r>
      <w:r>
        <w:rPr>
          <w:color w:val="231F20"/>
        </w:rPr>
        <w:t>Securities</w:t>
      </w:r>
      <w:r>
        <w:rPr>
          <w:color w:val="231F20"/>
          <w:spacing w:val="39"/>
        </w:rPr>
        <w:t> </w:t>
      </w:r>
      <w:r>
        <w:rPr>
          <w:color w:val="231F20"/>
        </w:rPr>
        <w:t>Regulatory</w:t>
      </w:r>
      <w:r>
        <w:rPr>
          <w:color w:val="231F20"/>
          <w:spacing w:val="39"/>
        </w:rPr>
        <w:t> </w:t>
      </w:r>
      <w:r>
        <w:rPr>
          <w:color w:val="231F20"/>
        </w:rPr>
        <w:t>Commission</w:t>
      </w:r>
      <w:r>
        <w:rPr>
          <w:color w:val="231F20"/>
          <w:spacing w:val="19"/>
        </w:rPr>
        <w:t> (</w:t>
      </w:r>
      <w:r>
        <w:rPr>
          <w:rFonts w:ascii="新細明體" w:eastAsia="新細明體"/>
          <w:color w:val="231F20"/>
        </w:rPr>
        <w:t>中國證監會</w:t>
      </w:r>
      <w:r>
        <w:rPr>
          <w:color w:val="231F20"/>
          <w:spacing w:val="9"/>
        </w:rPr>
        <w:t>), </w:t>
      </w:r>
      <w:r>
        <w:rPr>
          <w:color w:val="231F20"/>
        </w:rPr>
        <w:t>for</w:t>
      </w:r>
      <w:r>
        <w:rPr>
          <w:color w:val="231F20"/>
          <w:spacing w:val="27"/>
        </w:rPr>
        <w:t> </w:t>
      </w:r>
      <w:r>
        <w:rPr>
          <w:color w:val="231F20"/>
        </w:rPr>
        <w:t>dividends</w:t>
      </w:r>
      <w:r>
        <w:rPr>
          <w:color w:val="231F20"/>
          <w:spacing w:val="28"/>
        </w:rPr>
        <w:t> </w:t>
      </w:r>
      <w:r>
        <w:rPr>
          <w:color w:val="231F20"/>
        </w:rPr>
        <w:t>and</w:t>
      </w:r>
      <w:r>
        <w:rPr>
          <w:color w:val="231F20"/>
          <w:spacing w:val="27"/>
        </w:rPr>
        <w:t> </w:t>
      </w:r>
      <w:r>
        <w:rPr>
          <w:color w:val="231F20"/>
        </w:rPr>
        <w:t>bonuses</w:t>
      </w:r>
      <w:r>
        <w:rPr>
          <w:color w:val="231F20"/>
          <w:spacing w:val="28"/>
        </w:rPr>
        <w:t> </w:t>
      </w:r>
      <w:r>
        <w:rPr>
          <w:color w:val="231F20"/>
        </w:rPr>
        <w:t>received</w:t>
      </w:r>
      <w:r>
        <w:rPr>
          <w:color w:val="231F20"/>
          <w:spacing w:val="27"/>
        </w:rPr>
        <w:t> </w:t>
      </w:r>
      <w:r>
        <w:rPr>
          <w:color w:val="231F20"/>
        </w:rPr>
        <w:t>by</w:t>
      </w:r>
      <w:r>
        <w:rPr>
          <w:color w:val="231F20"/>
          <w:spacing w:val="28"/>
        </w:rPr>
        <w:t> </w:t>
      </w:r>
      <w:r>
        <w:rPr>
          <w:color w:val="231F20"/>
        </w:rPr>
        <w:t>investors</w:t>
      </w:r>
      <w:r>
        <w:rPr>
          <w:color w:val="231F20"/>
          <w:spacing w:val="27"/>
        </w:rPr>
        <w:t> </w:t>
      </w:r>
      <w:r>
        <w:rPr>
          <w:color w:val="231F20"/>
        </w:rPr>
        <w:t>from</w:t>
      </w:r>
      <w:r>
        <w:rPr>
          <w:color w:val="231F20"/>
          <w:spacing w:val="28"/>
        </w:rPr>
        <w:t> </w:t>
      </w:r>
      <w:r>
        <w:rPr>
          <w:color w:val="231F20"/>
        </w:rPr>
        <w:t>listed</w:t>
      </w:r>
      <w:r>
        <w:rPr>
          <w:color w:val="231F20"/>
          <w:spacing w:val="27"/>
        </w:rPr>
        <w:t> </w:t>
      </w:r>
      <w:r>
        <w:rPr>
          <w:color w:val="231F20"/>
        </w:rPr>
        <w:t>companies</w:t>
      </w:r>
      <w:r>
        <w:rPr>
          <w:color w:val="231F20"/>
          <w:spacing w:val="14"/>
        </w:rPr>
        <w:t>, </w:t>
      </w:r>
      <w:r>
        <w:rPr>
          <w:color w:val="231F20"/>
        </w:rPr>
        <w:t>from</w:t>
      </w:r>
      <w:r>
        <w:rPr>
          <w:color w:val="231F20"/>
          <w:spacing w:val="27"/>
        </w:rPr>
        <w:t> </w:t>
      </w:r>
      <w:r>
        <w:rPr>
          <w:color w:val="231F20"/>
        </w:rPr>
        <w:t>the</w:t>
      </w:r>
      <w:r>
        <w:rPr>
          <w:color w:val="231F20"/>
          <w:spacing w:val="28"/>
        </w:rPr>
        <w:t> </w:t>
      </w:r>
      <w:r>
        <w:rPr>
          <w:color w:val="231F20"/>
        </w:rPr>
        <w:t>date</w:t>
      </w:r>
      <w:r>
        <w:rPr>
          <w:color w:val="231F20"/>
          <w:spacing w:val="27"/>
        </w:rPr>
        <w:t> </w:t>
      </w:r>
      <w:r>
        <w:rPr>
          <w:color w:val="231F20"/>
        </w:rPr>
        <w:t>when the investors obtain the shares of the companies to the record date, if the holding period exceeds one</w:t>
      </w:r>
      <w:r>
        <w:rPr>
          <w:color w:val="231F20"/>
          <w:spacing w:val="80"/>
          <w:w w:val="150"/>
        </w:rPr>
        <w:t> </w:t>
      </w:r>
      <w:r>
        <w:rPr>
          <w:color w:val="231F20"/>
        </w:rPr>
        <w:t>year</w:t>
      </w:r>
      <w:r>
        <w:rPr>
          <w:color w:val="231F20"/>
          <w:spacing w:val="14"/>
        </w:rPr>
        <w:t>, </w:t>
      </w:r>
      <w:r>
        <w:rPr>
          <w:color w:val="231F20"/>
        </w:rPr>
        <w:t>the</w:t>
      </w:r>
      <w:r>
        <w:rPr>
          <w:color w:val="231F20"/>
          <w:spacing w:val="29"/>
        </w:rPr>
        <w:t> </w:t>
      </w:r>
      <w:r>
        <w:rPr>
          <w:color w:val="231F20"/>
        </w:rPr>
        <w:t>individual</w:t>
      </w:r>
      <w:r>
        <w:rPr>
          <w:color w:val="231F20"/>
          <w:spacing w:val="29"/>
        </w:rPr>
        <w:t> </w:t>
      </w:r>
      <w:r>
        <w:rPr>
          <w:color w:val="231F20"/>
        </w:rPr>
        <w:t>income</w:t>
      </w:r>
      <w:r>
        <w:rPr>
          <w:color w:val="231F20"/>
          <w:spacing w:val="29"/>
        </w:rPr>
        <w:t> </w:t>
      </w:r>
      <w:r>
        <w:rPr>
          <w:color w:val="231F20"/>
        </w:rPr>
        <w:t>tax</w:t>
      </w:r>
      <w:r>
        <w:rPr>
          <w:color w:val="231F20"/>
          <w:spacing w:val="29"/>
        </w:rPr>
        <w:t> </w:t>
      </w:r>
      <w:r>
        <w:rPr>
          <w:color w:val="231F20"/>
        </w:rPr>
        <w:t>shall</w:t>
      </w:r>
      <w:r>
        <w:rPr>
          <w:color w:val="231F20"/>
          <w:spacing w:val="29"/>
        </w:rPr>
        <w:t> </w:t>
      </w:r>
      <w:r>
        <w:rPr>
          <w:color w:val="231F20"/>
        </w:rPr>
        <w:t>be</w:t>
      </w:r>
      <w:r>
        <w:rPr>
          <w:color w:val="231F20"/>
          <w:spacing w:val="29"/>
        </w:rPr>
        <w:t> </w:t>
      </w:r>
      <w:r>
        <w:rPr>
          <w:color w:val="231F20"/>
        </w:rPr>
        <w:t>temporarily</w:t>
      </w:r>
      <w:r>
        <w:rPr>
          <w:color w:val="231F20"/>
          <w:spacing w:val="29"/>
        </w:rPr>
        <w:t> </w:t>
      </w:r>
      <w:r>
        <w:rPr>
          <w:color w:val="231F20"/>
        </w:rPr>
        <w:t>exempted</w:t>
      </w:r>
      <w:r>
        <w:rPr>
          <w:color w:val="231F20"/>
          <w:spacing w:val="14"/>
        </w:rPr>
        <w:t>. </w:t>
      </w:r>
      <w:r>
        <w:rPr>
          <w:color w:val="231F20"/>
        </w:rPr>
        <w:t>If</w:t>
      </w:r>
      <w:r>
        <w:rPr>
          <w:color w:val="231F20"/>
          <w:spacing w:val="29"/>
        </w:rPr>
        <w:t> </w:t>
      </w:r>
      <w:r>
        <w:rPr>
          <w:color w:val="231F20"/>
        </w:rPr>
        <w:t>the</w:t>
      </w:r>
      <w:r>
        <w:rPr>
          <w:color w:val="231F20"/>
          <w:spacing w:val="29"/>
        </w:rPr>
        <w:t> </w:t>
      </w:r>
      <w:r>
        <w:rPr>
          <w:color w:val="231F20"/>
        </w:rPr>
        <w:t>holding</w:t>
      </w:r>
      <w:r>
        <w:rPr>
          <w:color w:val="231F20"/>
          <w:spacing w:val="29"/>
        </w:rPr>
        <w:t> </w:t>
      </w:r>
      <w:r>
        <w:rPr>
          <w:color w:val="231F20"/>
        </w:rPr>
        <w:t>period</w:t>
      </w:r>
      <w:r>
        <w:rPr>
          <w:color w:val="231F20"/>
          <w:spacing w:val="29"/>
        </w:rPr>
        <w:t> </w:t>
      </w:r>
      <w:r>
        <w:rPr>
          <w:color w:val="231F20"/>
        </w:rPr>
        <w:t>does</w:t>
      </w:r>
      <w:r>
        <w:rPr>
          <w:color w:val="231F20"/>
          <w:spacing w:val="29"/>
        </w:rPr>
        <w:t> </w:t>
      </w:r>
      <w:r>
        <w:rPr>
          <w:color w:val="231F20"/>
        </w:rPr>
        <w:t>not</w:t>
      </w:r>
      <w:r>
        <w:rPr>
          <w:color w:val="231F20"/>
          <w:spacing w:val="29"/>
        </w:rPr>
        <w:t> </w:t>
      </w:r>
      <w:r>
        <w:rPr>
          <w:color w:val="231F20"/>
        </w:rPr>
        <w:t>exceed one</w:t>
      </w:r>
      <w:r>
        <w:rPr>
          <w:color w:val="231F20"/>
          <w:spacing w:val="28"/>
        </w:rPr>
        <w:t> </w:t>
      </w:r>
      <w:r>
        <w:rPr>
          <w:color w:val="231F20"/>
        </w:rPr>
        <w:t>year</w:t>
      </w:r>
      <w:r>
        <w:rPr>
          <w:color w:val="231F20"/>
          <w:spacing w:val="28"/>
        </w:rPr>
        <w:t> </w:t>
      </w:r>
      <w:r>
        <w:rPr>
          <w:color w:val="231F20"/>
        </w:rPr>
        <w:t>(including</w:t>
      </w:r>
      <w:r>
        <w:rPr>
          <w:color w:val="231F20"/>
          <w:spacing w:val="28"/>
        </w:rPr>
        <w:t> </w:t>
      </w:r>
      <w:r>
        <w:rPr>
          <w:color w:val="231F20"/>
        </w:rPr>
        <w:t>one</w:t>
      </w:r>
      <w:r>
        <w:rPr>
          <w:color w:val="231F20"/>
          <w:spacing w:val="28"/>
        </w:rPr>
        <w:t> </w:t>
      </w:r>
      <w:r>
        <w:rPr>
          <w:color w:val="231F20"/>
        </w:rPr>
        <w:t>year)</w:t>
      </w:r>
      <w:r>
        <w:rPr>
          <w:color w:val="231F20"/>
          <w:spacing w:val="14"/>
        </w:rPr>
        <w:t>, </w:t>
      </w:r>
      <w:r>
        <w:rPr>
          <w:color w:val="231F20"/>
        </w:rPr>
        <w:t>the</w:t>
      </w:r>
      <w:r>
        <w:rPr>
          <w:color w:val="231F20"/>
          <w:spacing w:val="28"/>
        </w:rPr>
        <w:t> </w:t>
      </w:r>
      <w:r>
        <w:rPr>
          <w:color w:val="231F20"/>
        </w:rPr>
        <w:t>listed</w:t>
      </w:r>
      <w:r>
        <w:rPr>
          <w:color w:val="231F20"/>
          <w:spacing w:val="28"/>
        </w:rPr>
        <w:t> </w:t>
      </w:r>
      <w:r>
        <w:rPr>
          <w:color w:val="231F20"/>
        </w:rPr>
        <w:t>companies</w:t>
      </w:r>
      <w:r>
        <w:rPr>
          <w:color w:val="231F20"/>
          <w:spacing w:val="28"/>
        </w:rPr>
        <w:t> </w:t>
      </w:r>
      <w:r>
        <w:rPr>
          <w:color w:val="231F20"/>
        </w:rPr>
        <w:t>shall</w:t>
      </w:r>
      <w:r>
        <w:rPr>
          <w:color w:val="231F20"/>
          <w:spacing w:val="28"/>
        </w:rPr>
        <w:t> </w:t>
      </w:r>
      <w:r>
        <w:rPr>
          <w:color w:val="231F20"/>
        </w:rPr>
        <w:t>not</w:t>
      </w:r>
      <w:r>
        <w:rPr>
          <w:color w:val="231F20"/>
          <w:spacing w:val="28"/>
        </w:rPr>
        <w:t> </w:t>
      </w:r>
      <w:r>
        <w:rPr>
          <w:color w:val="231F20"/>
        </w:rPr>
        <w:t>withhold</w:t>
      </w:r>
      <w:r>
        <w:rPr>
          <w:color w:val="231F20"/>
          <w:spacing w:val="28"/>
        </w:rPr>
        <w:t> </w:t>
      </w:r>
      <w:r>
        <w:rPr>
          <w:color w:val="231F20"/>
        </w:rPr>
        <w:t>and</w:t>
      </w:r>
      <w:r>
        <w:rPr>
          <w:color w:val="231F20"/>
          <w:spacing w:val="28"/>
        </w:rPr>
        <w:t> </w:t>
      </w:r>
      <w:r>
        <w:rPr>
          <w:color w:val="231F20"/>
        </w:rPr>
        <w:t>pay</w:t>
      </w:r>
      <w:r>
        <w:rPr>
          <w:color w:val="231F20"/>
          <w:spacing w:val="28"/>
        </w:rPr>
        <w:t> </w:t>
      </w:r>
      <w:r>
        <w:rPr>
          <w:color w:val="231F20"/>
        </w:rPr>
        <w:t>the</w:t>
      </w:r>
      <w:r>
        <w:rPr>
          <w:color w:val="231F20"/>
          <w:spacing w:val="28"/>
        </w:rPr>
        <w:t> </w:t>
      </w:r>
      <w:r>
        <w:rPr>
          <w:color w:val="231F20"/>
        </w:rPr>
        <w:t>individual</w:t>
      </w:r>
      <w:r>
        <w:rPr>
          <w:color w:val="231F20"/>
          <w:spacing w:val="28"/>
        </w:rPr>
        <w:t> </w:t>
      </w:r>
      <w:r>
        <w:rPr>
          <w:color w:val="231F20"/>
        </w:rPr>
        <w:t>income tax</w:t>
      </w:r>
      <w:r>
        <w:rPr>
          <w:color w:val="231F20"/>
          <w:spacing w:val="17"/>
        </w:rPr>
        <w:t> </w:t>
      </w:r>
      <w:r>
        <w:rPr>
          <w:color w:val="231F20"/>
        </w:rPr>
        <w:t>for</w:t>
      </w:r>
      <w:r>
        <w:rPr>
          <w:color w:val="231F20"/>
          <w:spacing w:val="17"/>
        </w:rPr>
        <w:t> </w:t>
      </w:r>
      <w:r>
        <w:rPr>
          <w:color w:val="231F20"/>
        </w:rPr>
        <w:t>the</w:t>
      </w:r>
      <w:r>
        <w:rPr>
          <w:color w:val="231F20"/>
          <w:spacing w:val="17"/>
        </w:rPr>
        <w:t> </w:t>
      </w:r>
      <w:r>
        <w:rPr>
          <w:color w:val="231F20"/>
        </w:rPr>
        <w:t>time</w:t>
      </w:r>
      <w:r>
        <w:rPr>
          <w:color w:val="231F20"/>
          <w:spacing w:val="17"/>
        </w:rPr>
        <w:t> </w:t>
      </w:r>
      <w:r>
        <w:rPr>
          <w:color w:val="231F20"/>
        </w:rPr>
        <w:t>being</w:t>
      </w:r>
      <w:r>
        <w:rPr>
          <w:color w:val="231F20"/>
          <w:spacing w:val="8"/>
        </w:rPr>
        <w:t>, </w:t>
      </w:r>
      <w:r>
        <w:rPr>
          <w:color w:val="231F20"/>
        </w:rPr>
        <w:t>and</w:t>
      </w:r>
      <w:r>
        <w:rPr>
          <w:color w:val="231F20"/>
          <w:spacing w:val="17"/>
        </w:rPr>
        <w:t> </w:t>
      </w:r>
      <w:r>
        <w:rPr>
          <w:color w:val="231F20"/>
        </w:rPr>
        <w:t>shall</w:t>
      </w:r>
      <w:r>
        <w:rPr>
          <w:color w:val="231F20"/>
          <w:spacing w:val="17"/>
        </w:rPr>
        <w:t> </w:t>
      </w:r>
      <w:r>
        <w:rPr>
          <w:color w:val="231F20"/>
        </w:rPr>
        <w:t>make</w:t>
      </w:r>
      <w:r>
        <w:rPr>
          <w:color w:val="231F20"/>
          <w:spacing w:val="17"/>
        </w:rPr>
        <w:t> </w:t>
      </w:r>
      <w:r>
        <w:rPr>
          <w:color w:val="231F20"/>
        </w:rPr>
        <w:t>the</w:t>
      </w:r>
      <w:r>
        <w:rPr>
          <w:color w:val="231F20"/>
          <w:spacing w:val="17"/>
        </w:rPr>
        <w:t> </w:t>
      </w:r>
      <w:r>
        <w:rPr>
          <w:color w:val="231F20"/>
        </w:rPr>
        <w:t>following</w:t>
      </w:r>
      <w:r>
        <w:rPr>
          <w:color w:val="231F20"/>
          <w:spacing w:val="17"/>
        </w:rPr>
        <w:t> </w:t>
      </w:r>
      <w:r>
        <w:rPr>
          <w:color w:val="231F20"/>
        </w:rPr>
        <w:t>adjustments</w:t>
      </w:r>
      <w:r>
        <w:rPr>
          <w:color w:val="231F20"/>
          <w:spacing w:val="17"/>
        </w:rPr>
        <w:t> </w:t>
      </w:r>
      <w:r>
        <w:rPr>
          <w:color w:val="231F20"/>
        </w:rPr>
        <w:t>when</w:t>
      </w:r>
      <w:r>
        <w:rPr>
          <w:color w:val="231F20"/>
          <w:spacing w:val="17"/>
        </w:rPr>
        <w:t> </w:t>
      </w:r>
      <w:r>
        <w:rPr>
          <w:color w:val="231F20"/>
        </w:rPr>
        <w:t>the</w:t>
      </w:r>
      <w:r>
        <w:rPr>
          <w:color w:val="231F20"/>
          <w:spacing w:val="17"/>
        </w:rPr>
        <w:t> </w:t>
      </w:r>
      <w:r>
        <w:rPr>
          <w:color w:val="231F20"/>
        </w:rPr>
        <w:t>investors</w:t>
      </w:r>
      <w:r>
        <w:rPr>
          <w:color w:val="231F20"/>
          <w:spacing w:val="17"/>
        </w:rPr>
        <w:t> </w:t>
      </w:r>
      <w:r>
        <w:rPr>
          <w:color w:val="231F20"/>
        </w:rPr>
        <w:t>transfer</w:t>
      </w:r>
      <w:r>
        <w:rPr>
          <w:color w:val="231F20"/>
          <w:spacing w:val="16"/>
        </w:rPr>
        <w:t> </w:t>
      </w:r>
      <w:r>
        <w:rPr>
          <w:color w:val="231F20"/>
        </w:rPr>
        <w:t>the</w:t>
      </w:r>
      <w:r>
        <w:rPr>
          <w:color w:val="231F20"/>
          <w:spacing w:val="17"/>
        </w:rPr>
        <w:t> </w:t>
      </w:r>
      <w:r>
        <w:rPr>
          <w:color w:val="231F20"/>
        </w:rPr>
        <w:t>shares in accordance with the requirements of the above notices: if the holding period is within 1 month (inclusive)</w:t>
      </w:r>
      <w:r>
        <w:rPr>
          <w:color w:val="231F20"/>
          <w:spacing w:val="13"/>
        </w:rPr>
        <w:t>, </w:t>
      </w:r>
      <w:r>
        <w:rPr>
          <w:color w:val="231F20"/>
        </w:rPr>
        <w:t>the</w:t>
      </w:r>
      <w:r>
        <w:rPr>
          <w:color w:val="231F20"/>
          <w:spacing w:val="26"/>
        </w:rPr>
        <w:t> </w:t>
      </w:r>
      <w:r>
        <w:rPr>
          <w:color w:val="231F20"/>
        </w:rPr>
        <w:t>full</w:t>
      </w:r>
      <w:r>
        <w:rPr>
          <w:color w:val="231F20"/>
          <w:spacing w:val="26"/>
        </w:rPr>
        <w:t> </w:t>
      </w:r>
      <w:r>
        <w:rPr>
          <w:color w:val="231F20"/>
        </w:rPr>
        <w:t>amount</w:t>
      </w:r>
      <w:r>
        <w:rPr>
          <w:color w:val="231F20"/>
          <w:spacing w:val="26"/>
        </w:rPr>
        <w:t> </w:t>
      </w:r>
      <w:r>
        <w:rPr>
          <w:color w:val="231F20"/>
        </w:rPr>
        <w:t>of</w:t>
      </w:r>
      <w:r>
        <w:rPr>
          <w:color w:val="231F20"/>
          <w:spacing w:val="26"/>
        </w:rPr>
        <w:t> </w:t>
      </w:r>
      <w:r>
        <w:rPr>
          <w:color w:val="231F20"/>
        </w:rPr>
        <w:t>the</w:t>
      </w:r>
      <w:r>
        <w:rPr>
          <w:color w:val="231F20"/>
          <w:spacing w:val="26"/>
        </w:rPr>
        <w:t> </w:t>
      </w:r>
      <w:r>
        <w:rPr>
          <w:color w:val="231F20"/>
        </w:rPr>
        <w:t>dividends</w:t>
      </w:r>
      <w:r>
        <w:rPr>
          <w:color w:val="231F20"/>
          <w:spacing w:val="26"/>
        </w:rPr>
        <w:t> </w:t>
      </w:r>
      <w:r>
        <w:rPr>
          <w:color w:val="231F20"/>
        </w:rPr>
        <w:t>and</w:t>
      </w:r>
      <w:r>
        <w:rPr>
          <w:color w:val="231F20"/>
          <w:spacing w:val="26"/>
        </w:rPr>
        <w:t> </w:t>
      </w:r>
      <w:r>
        <w:rPr>
          <w:color w:val="231F20"/>
        </w:rPr>
        <w:t>bonuses</w:t>
      </w:r>
      <w:r>
        <w:rPr>
          <w:color w:val="231F20"/>
          <w:spacing w:val="26"/>
        </w:rPr>
        <w:t> </w:t>
      </w:r>
      <w:r>
        <w:rPr>
          <w:color w:val="231F20"/>
        </w:rPr>
        <w:t>shall</w:t>
      </w:r>
      <w:r>
        <w:rPr>
          <w:color w:val="231F20"/>
          <w:spacing w:val="26"/>
        </w:rPr>
        <w:t> </w:t>
      </w:r>
      <w:r>
        <w:rPr>
          <w:color w:val="231F20"/>
        </w:rPr>
        <w:t>be</w:t>
      </w:r>
      <w:r>
        <w:rPr>
          <w:color w:val="231F20"/>
          <w:spacing w:val="26"/>
        </w:rPr>
        <w:t> </w:t>
      </w:r>
      <w:r>
        <w:rPr>
          <w:color w:val="231F20"/>
        </w:rPr>
        <w:t>included</w:t>
      </w:r>
      <w:r>
        <w:rPr>
          <w:color w:val="231F20"/>
          <w:spacing w:val="26"/>
        </w:rPr>
        <w:t> </w:t>
      </w:r>
      <w:r>
        <w:rPr>
          <w:color w:val="231F20"/>
        </w:rPr>
        <w:t>in</w:t>
      </w:r>
      <w:r>
        <w:rPr>
          <w:color w:val="231F20"/>
          <w:spacing w:val="26"/>
        </w:rPr>
        <w:t> </w:t>
      </w:r>
      <w:r>
        <w:rPr>
          <w:color w:val="231F20"/>
        </w:rPr>
        <w:t>the</w:t>
      </w:r>
      <w:r>
        <w:rPr>
          <w:color w:val="231F20"/>
          <w:spacing w:val="26"/>
        </w:rPr>
        <w:t> </w:t>
      </w:r>
      <w:r>
        <w:rPr>
          <w:color w:val="231F20"/>
        </w:rPr>
        <w:t>taxable</w:t>
      </w:r>
      <w:r>
        <w:rPr>
          <w:color w:val="231F20"/>
          <w:spacing w:val="26"/>
        </w:rPr>
        <w:t> </w:t>
      </w:r>
      <w:r>
        <w:rPr>
          <w:color w:val="231F20"/>
        </w:rPr>
        <w:t>income</w:t>
      </w:r>
      <w:r>
        <w:rPr>
          <w:color w:val="231F20"/>
          <w:spacing w:val="26"/>
        </w:rPr>
        <w:t> </w:t>
      </w:r>
      <w:r>
        <w:rPr>
          <w:color w:val="231F20"/>
        </w:rPr>
        <w:t>and the actual tax liabilities shall be 20%; if the holding period is more than 1 month but less than 1 year (inclusive)</w:t>
      </w:r>
      <w:r>
        <w:rPr>
          <w:color w:val="231F20"/>
          <w:spacing w:val="14"/>
        </w:rPr>
        <w:t>, </w:t>
      </w:r>
      <w:r>
        <w:rPr>
          <w:color w:val="231F20"/>
        </w:rPr>
        <w:t>50</w:t>
      </w:r>
      <w:r>
        <w:rPr>
          <w:color w:val="231F20"/>
          <w:spacing w:val="14"/>
        </w:rPr>
        <w:t>% </w:t>
      </w:r>
      <w:r>
        <w:rPr>
          <w:color w:val="231F20"/>
        </w:rPr>
        <w:t>of</w:t>
      </w:r>
      <w:r>
        <w:rPr>
          <w:color w:val="231F20"/>
          <w:spacing w:val="28"/>
        </w:rPr>
        <w:t> </w:t>
      </w:r>
      <w:r>
        <w:rPr>
          <w:color w:val="231F20"/>
        </w:rPr>
        <w:t>the</w:t>
      </w:r>
      <w:r>
        <w:rPr>
          <w:color w:val="231F20"/>
          <w:spacing w:val="28"/>
        </w:rPr>
        <w:t> </w:t>
      </w:r>
      <w:r>
        <w:rPr>
          <w:color w:val="231F20"/>
        </w:rPr>
        <w:t>dividends</w:t>
      </w:r>
      <w:r>
        <w:rPr>
          <w:color w:val="231F20"/>
          <w:spacing w:val="28"/>
        </w:rPr>
        <w:t> </w:t>
      </w:r>
      <w:r>
        <w:rPr>
          <w:color w:val="231F20"/>
        </w:rPr>
        <w:t>and</w:t>
      </w:r>
      <w:r>
        <w:rPr>
          <w:color w:val="231F20"/>
          <w:spacing w:val="29"/>
        </w:rPr>
        <w:t> </w:t>
      </w:r>
      <w:r>
        <w:rPr>
          <w:color w:val="231F20"/>
        </w:rPr>
        <w:t>bonuses</w:t>
      </w:r>
      <w:r>
        <w:rPr>
          <w:color w:val="231F20"/>
          <w:spacing w:val="28"/>
        </w:rPr>
        <w:t> </w:t>
      </w:r>
      <w:r>
        <w:rPr>
          <w:color w:val="231F20"/>
        </w:rPr>
        <w:t>shall</w:t>
      </w:r>
      <w:r>
        <w:rPr>
          <w:color w:val="231F20"/>
          <w:spacing w:val="28"/>
        </w:rPr>
        <w:t> </w:t>
      </w:r>
      <w:r>
        <w:rPr>
          <w:color w:val="231F20"/>
        </w:rPr>
        <w:t>be</w:t>
      </w:r>
      <w:r>
        <w:rPr>
          <w:color w:val="231F20"/>
          <w:spacing w:val="28"/>
        </w:rPr>
        <w:t> </w:t>
      </w:r>
      <w:r>
        <w:rPr>
          <w:color w:val="231F20"/>
        </w:rPr>
        <w:t>included</w:t>
      </w:r>
      <w:r>
        <w:rPr>
          <w:color w:val="231F20"/>
          <w:spacing w:val="28"/>
        </w:rPr>
        <w:t> </w:t>
      </w:r>
      <w:r>
        <w:rPr>
          <w:color w:val="231F20"/>
        </w:rPr>
        <w:t>in</w:t>
      </w:r>
      <w:r>
        <w:rPr>
          <w:color w:val="231F20"/>
          <w:spacing w:val="28"/>
        </w:rPr>
        <w:t> </w:t>
      </w:r>
      <w:r>
        <w:rPr>
          <w:color w:val="231F20"/>
        </w:rPr>
        <w:t>the</w:t>
      </w:r>
      <w:r>
        <w:rPr>
          <w:color w:val="231F20"/>
          <w:spacing w:val="28"/>
        </w:rPr>
        <w:t> </w:t>
      </w:r>
      <w:r>
        <w:rPr>
          <w:color w:val="231F20"/>
        </w:rPr>
        <w:t>taxable</w:t>
      </w:r>
      <w:r>
        <w:rPr>
          <w:color w:val="231F20"/>
          <w:spacing w:val="28"/>
        </w:rPr>
        <w:t> </w:t>
      </w:r>
      <w:r>
        <w:rPr>
          <w:color w:val="231F20"/>
        </w:rPr>
        <w:t>income</w:t>
      </w:r>
      <w:r>
        <w:rPr>
          <w:color w:val="231F20"/>
          <w:spacing w:val="29"/>
        </w:rPr>
        <w:t> </w:t>
      </w:r>
      <w:r>
        <w:rPr>
          <w:color w:val="231F20"/>
        </w:rPr>
        <w:t>and</w:t>
      </w:r>
      <w:r>
        <w:rPr>
          <w:color w:val="231F20"/>
          <w:spacing w:val="28"/>
        </w:rPr>
        <w:t> </w:t>
      </w:r>
      <w:r>
        <w:rPr>
          <w:color w:val="231F20"/>
        </w:rPr>
        <w:t>the</w:t>
      </w:r>
      <w:r>
        <w:rPr>
          <w:color w:val="231F20"/>
          <w:spacing w:val="28"/>
        </w:rPr>
        <w:t> </w:t>
      </w:r>
      <w:r>
        <w:rPr>
          <w:color w:val="231F20"/>
        </w:rPr>
        <w:t>actual tax liabilities shall be 10%.</w:t>
      </w:r>
    </w:p>
    <w:p>
      <w:pPr>
        <w:pStyle w:val="BodyText"/>
        <w:spacing w:before="87"/>
      </w:pPr>
    </w:p>
    <w:p>
      <w:pPr>
        <w:pStyle w:val="ListParagraph"/>
        <w:numPr>
          <w:ilvl w:val="1"/>
          <w:numId w:val="5"/>
        </w:numPr>
        <w:tabs>
          <w:tab w:pos="1276" w:val="left" w:leader="none"/>
        </w:tabs>
        <w:spacing w:line="240" w:lineRule="auto" w:before="0" w:after="0"/>
        <w:ind w:left="1276" w:right="0" w:hanging="567"/>
        <w:jc w:val="left"/>
        <w:rPr>
          <w:i/>
          <w:sz w:val="20"/>
        </w:rPr>
      </w:pPr>
      <w:r>
        <w:rPr>
          <w:i/>
          <w:color w:val="231F20"/>
          <w:sz w:val="20"/>
        </w:rPr>
        <w:t>Qualified</w:t>
      </w:r>
      <w:r>
        <w:rPr>
          <w:i/>
          <w:color w:val="231F20"/>
          <w:spacing w:val="34"/>
          <w:sz w:val="20"/>
        </w:rPr>
        <w:t> </w:t>
      </w:r>
      <w:r>
        <w:rPr>
          <w:i/>
          <w:color w:val="231F20"/>
          <w:sz w:val="20"/>
        </w:rPr>
        <w:t>Foreign</w:t>
      </w:r>
      <w:r>
        <w:rPr>
          <w:i/>
          <w:color w:val="231F20"/>
          <w:spacing w:val="35"/>
          <w:sz w:val="20"/>
        </w:rPr>
        <w:t> </w:t>
      </w:r>
      <w:r>
        <w:rPr>
          <w:i/>
          <w:color w:val="231F20"/>
          <w:sz w:val="20"/>
        </w:rPr>
        <w:t>Institutional</w:t>
      </w:r>
      <w:r>
        <w:rPr>
          <w:i/>
          <w:color w:val="231F20"/>
          <w:spacing w:val="36"/>
          <w:sz w:val="20"/>
        </w:rPr>
        <w:t> </w:t>
      </w:r>
      <w:r>
        <w:rPr>
          <w:i/>
          <w:color w:val="231F20"/>
          <w:sz w:val="20"/>
        </w:rPr>
        <w:t>Investors</w:t>
      </w:r>
      <w:r>
        <w:rPr>
          <w:i/>
          <w:color w:val="231F20"/>
          <w:spacing w:val="35"/>
          <w:sz w:val="20"/>
        </w:rPr>
        <w:t> </w:t>
      </w:r>
      <w:r>
        <w:rPr>
          <w:i/>
          <w:color w:val="231F20"/>
          <w:sz w:val="20"/>
        </w:rPr>
        <w:t>(QFII)</w:t>
      </w:r>
      <w:r>
        <w:rPr>
          <w:i/>
          <w:color w:val="231F20"/>
          <w:spacing w:val="35"/>
          <w:sz w:val="20"/>
        </w:rPr>
        <w:t> </w:t>
      </w:r>
      <w:r>
        <w:rPr>
          <w:i/>
          <w:color w:val="231F20"/>
          <w:spacing w:val="-2"/>
          <w:sz w:val="20"/>
        </w:rPr>
        <w:t>Shareholders</w:t>
      </w:r>
    </w:p>
    <w:p>
      <w:pPr>
        <w:pStyle w:val="BodyText"/>
        <w:spacing w:before="62"/>
        <w:rPr>
          <w:i/>
        </w:rPr>
      </w:pPr>
    </w:p>
    <w:p>
      <w:pPr>
        <w:pStyle w:val="BodyText"/>
        <w:spacing w:line="280" w:lineRule="exact" w:before="1"/>
        <w:ind w:left="708" w:right="129" w:firstLine="567"/>
        <w:jc w:val="both"/>
      </w:pPr>
      <w:r>
        <w:rPr>
          <w:color w:val="231F20"/>
        </w:rPr>
        <w:t>For Qualified Foreign Institutional Investors (QFII), according to the Notice of the State Administration of Taxation on the Issues Concerning Withholding and Payment of Enterprise Income</w:t>
      </w:r>
      <w:r>
        <w:rPr>
          <w:color w:val="231F20"/>
          <w:spacing w:val="80"/>
        </w:rPr>
        <w:t> </w:t>
      </w:r>
      <w:r>
        <w:rPr>
          <w:color w:val="231F20"/>
        </w:rPr>
        <w:t>Tax on the Dividends, Bonuses and Interests Paid by Chinese Resident Enterprises to QFII (Guo Shui</w:t>
      </w:r>
      <w:r>
        <w:rPr>
          <w:color w:val="231F20"/>
          <w:spacing w:val="40"/>
        </w:rPr>
        <w:t> </w:t>
      </w:r>
      <w:r>
        <w:rPr>
          <w:color w:val="231F20"/>
        </w:rPr>
        <w:t>Han [2009] No. 47) (</w:t>
      </w:r>
      <w:r>
        <w:rPr>
          <w:rFonts w:ascii="新細明體" w:eastAsia="新細明體"/>
          <w:color w:val="231F20"/>
        </w:rPr>
        <w:t>《國家稅務總局關於中國居民企業向 </w:t>
      </w:r>
      <w:r>
        <w:rPr>
          <w:color w:val="231F20"/>
        </w:rPr>
        <w:t>QFII</w:t>
      </w:r>
      <w:r>
        <w:rPr>
          <w:rFonts w:ascii="新細明體" w:eastAsia="新細明體"/>
          <w:color w:val="231F20"/>
          <w:spacing w:val="-4"/>
        </w:rPr>
        <w:t>支付股息、紅利、利息代扣代繳企</w:t>
      </w:r>
      <w:r>
        <w:rPr>
          <w:rFonts w:ascii="新細明體" w:eastAsia="新細明體"/>
          <w:color w:val="231F20"/>
        </w:rPr>
        <w:t>業所得稅有關問題的通知》</w:t>
      </w:r>
      <w:r>
        <w:rPr>
          <w:color w:val="231F20"/>
        </w:rPr>
        <w:t>(</w:t>
      </w:r>
      <w:r>
        <w:rPr>
          <w:rFonts w:ascii="新細明體" w:eastAsia="新細明體"/>
          <w:color w:val="231F20"/>
        </w:rPr>
        <w:t>國稅函</w:t>
      </w:r>
      <w:r>
        <w:rPr>
          <w:color w:val="231F20"/>
        </w:rPr>
        <w:t>[2009]47</w:t>
      </w:r>
      <w:r>
        <w:rPr>
          <w:rFonts w:ascii="新細明體" w:eastAsia="新細明體"/>
          <w:color w:val="231F20"/>
        </w:rPr>
        <w:t>號</w:t>
      </w:r>
      <w:r>
        <w:rPr>
          <w:color w:val="231F20"/>
        </w:rPr>
        <w:t>)), listed companies shall withhold and pay enterprise income tax at a rate of 10%. QFII shareholders who wish to enjoy tax benefits under tax treaties (arrangements</w:t>
      </w:r>
      <w:r>
        <w:rPr>
          <w:color w:val="231F20"/>
          <w:spacing w:val="13"/>
        </w:rPr>
        <w:t>) </w:t>
      </w:r>
      <w:r>
        <w:rPr>
          <w:color w:val="231F20"/>
        </w:rPr>
        <w:t>for</w:t>
      </w:r>
      <w:r>
        <w:rPr>
          <w:color w:val="231F20"/>
          <w:spacing w:val="26"/>
        </w:rPr>
        <w:t> </w:t>
      </w:r>
      <w:r>
        <w:rPr>
          <w:color w:val="231F20"/>
        </w:rPr>
        <w:t>the</w:t>
      </w:r>
      <w:r>
        <w:rPr>
          <w:color w:val="231F20"/>
          <w:spacing w:val="26"/>
        </w:rPr>
        <w:t> </w:t>
      </w:r>
      <w:r>
        <w:rPr>
          <w:color w:val="231F20"/>
        </w:rPr>
        <w:t>dividend</w:t>
      </w:r>
      <w:r>
        <w:rPr>
          <w:color w:val="231F20"/>
          <w:spacing w:val="26"/>
        </w:rPr>
        <w:t> </w:t>
      </w:r>
      <w:r>
        <w:rPr>
          <w:color w:val="231F20"/>
        </w:rPr>
        <w:t>or</w:t>
      </w:r>
      <w:r>
        <w:rPr>
          <w:color w:val="231F20"/>
          <w:spacing w:val="26"/>
        </w:rPr>
        <w:t> </w:t>
      </w:r>
      <w:r>
        <w:rPr>
          <w:color w:val="231F20"/>
        </w:rPr>
        <w:t>bonus</w:t>
      </w:r>
      <w:r>
        <w:rPr>
          <w:color w:val="231F20"/>
          <w:spacing w:val="26"/>
        </w:rPr>
        <w:t> </w:t>
      </w:r>
      <w:r>
        <w:rPr>
          <w:color w:val="231F20"/>
        </w:rPr>
        <w:t>income</w:t>
      </w:r>
      <w:r>
        <w:rPr>
          <w:color w:val="231F20"/>
          <w:spacing w:val="26"/>
        </w:rPr>
        <w:t> </w:t>
      </w:r>
      <w:r>
        <w:rPr>
          <w:color w:val="231F20"/>
        </w:rPr>
        <w:t>received</w:t>
      </w:r>
      <w:r>
        <w:rPr>
          <w:color w:val="231F20"/>
          <w:spacing w:val="26"/>
        </w:rPr>
        <w:t> </w:t>
      </w:r>
      <w:r>
        <w:rPr>
          <w:color w:val="231F20"/>
        </w:rPr>
        <w:t>may</w:t>
      </w:r>
      <w:r>
        <w:rPr>
          <w:color w:val="231F20"/>
          <w:spacing w:val="26"/>
        </w:rPr>
        <w:t> </w:t>
      </w:r>
      <w:r>
        <w:rPr>
          <w:color w:val="231F20"/>
        </w:rPr>
        <w:t>apply</w:t>
      </w:r>
      <w:r>
        <w:rPr>
          <w:color w:val="231F20"/>
          <w:spacing w:val="26"/>
        </w:rPr>
        <w:t> </w:t>
      </w:r>
      <w:r>
        <w:rPr>
          <w:color w:val="231F20"/>
        </w:rPr>
        <w:t>to</w:t>
      </w:r>
      <w:r>
        <w:rPr>
          <w:color w:val="231F20"/>
          <w:spacing w:val="26"/>
        </w:rPr>
        <w:t> </w:t>
      </w:r>
      <w:r>
        <w:rPr>
          <w:color w:val="231F20"/>
        </w:rPr>
        <w:t>the</w:t>
      </w:r>
      <w:r>
        <w:rPr>
          <w:color w:val="231F20"/>
          <w:spacing w:val="26"/>
        </w:rPr>
        <w:t> </w:t>
      </w:r>
      <w:r>
        <w:rPr>
          <w:color w:val="231F20"/>
        </w:rPr>
        <w:t>competent</w:t>
      </w:r>
      <w:r>
        <w:rPr>
          <w:color w:val="231F20"/>
          <w:spacing w:val="26"/>
        </w:rPr>
        <w:t> </w:t>
      </w:r>
      <w:r>
        <w:rPr>
          <w:color w:val="231F20"/>
        </w:rPr>
        <w:t>tax</w:t>
      </w:r>
      <w:r>
        <w:rPr>
          <w:color w:val="231F20"/>
          <w:spacing w:val="26"/>
        </w:rPr>
        <w:t> </w:t>
      </w:r>
      <w:r>
        <w:rPr>
          <w:color w:val="231F20"/>
        </w:rPr>
        <w:t>authorities for</w:t>
      </w:r>
      <w:r>
        <w:rPr>
          <w:color w:val="231F20"/>
          <w:spacing w:val="28"/>
        </w:rPr>
        <w:t> </w:t>
      </w:r>
      <w:r>
        <w:rPr>
          <w:color w:val="231F20"/>
        </w:rPr>
        <w:t>tax</w:t>
      </w:r>
      <w:r>
        <w:rPr>
          <w:color w:val="231F20"/>
          <w:spacing w:val="30"/>
        </w:rPr>
        <w:t> </w:t>
      </w:r>
      <w:r>
        <w:rPr>
          <w:color w:val="231F20"/>
        </w:rPr>
        <w:t>rebates</w:t>
      </w:r>
      <w:r>
        <w:rPr>
          <w:color w:val="231F20"/>
          <w:spacing w:val="29"/>
        </w:rPr>
        <w:t> </w:t>
      </w:r>
      <w:r>
        <w:rPr>
          <w:color w:val="231F20"/>
        </w:rPr>
        <w:t>in</w:t>
      </w:r>
      <w:r>
        <w:rPr>
          <w:color w:val="231F20"/>
          <w:spacing w:val="29"/>
        </w:rPr>
        <w:t> </w:t>
      </w:r>
      <w:r>
        <w:rPr>
          <w:color w:val="231F20"/>
        </w:rPr>
        <w:t>accordance</w:t>
      </w:r>
      <w:r>
        <w:rPr>
          <w:color w:val="231F20"/>
          <w:spacing w:val="30"/>
        </w:rPr>
        <w:t> </w:t>
      </w:r>
      <w:r>
        <w:rPr>
          <w:color w:val="231F20"/>
        </w:rPr>
        <w:t>with</w:t>
      </w:r>
      <w:r>
        <w:rPr>
          <w:color w:val="231F20"/>
          <w:spacing w:val="29"/>
        </w:rPr>
        <w:t> </w:t>
      </w:r>
      <w:r>
        <w:rPr>
          <w:color w:val="231F20"/>
        </w:rPr>
        <w:t>the</w:t>
      </w:r>
      <w:r>
        <w:rPr>
          <w:color w:val="231F20"/>
          <w:spacing w:val="30"/>
        </w:rPr>
        <w:t> </w:t>
      </w:r>
      <w:r>
        <w:rPr>
          <w:color w:val="231F20"/>
        </w:rPr>
        <w:t>relevant</w:t>
      </w:r>
      <w:r>
        <w:rPr>
          <w:color w:val="231F20"/>
          <w:spacing w:val="29"/>
        </w:rPr>
        <w:t> </w:t>
      </w:r>
      <w:r>
        <w:rPr>
          <w:color w:val="231F20"/>
        </w:rPr>
        <w:t>regulations</w:t>
      </w:r>
      <w:r>
        <w:rPr>
          <w:color w:val="231F20"/>
          <w:spacing w:val="30"/>
        </w:rPr>
        <w:t> </w:t>
      </w:r>
      <w:r>
        <w:rPr>
          <w:color w:val="231F20"/>
        </w:rPr>
        <w:t>after</w:t>
      </w:r>
      <w:r>
        <w:rPr>
          <w:color w:val="231F20"/>
          <w:spacing w:val="29"/>
        </w:rPr>
        <w:t> </w:t>
      </w:r>
      <w:r>
        <w:rPr>
          <w:color w:val="231F20"/>
        </w:rPr>
        <w:t>receiving</w:t>
      </w:r>
      <w:r>
        <w:rPr>
          <w:color w:val="231F20"/>
          <w:spacing w:val="29"/>
        </w:rPr>
        <w:t> </w:t>
      </w:r>
      <w:r>
        <w:rPr>
          <w:color w:val="231F20"/>
        </w:rPr>
        <w:t>such</w:t>
      </w:r>
      <w:r>
        <w:rPr>
          <w:color w:val="231F20"/>
          <w:spacing w:val="30"/>
        </w:rPr>
        <w:t> </w:t>
      </w:r>
      <w:r>
        <w:rPr>
          <w:color w:val="231F20"/>
        </w:rPr>
        <w:t>dividends</w:t>
      </w:r>
      <w:r>
        <w:rPr>
          <w:color w:val="231F20"/>
          <w:spacing w:val="29"/>
        </w:rPr>
        <w:t> </w:t>
      </w:r>
      <w:r>
        <w:rPr>
          <w:color w:val="231F20"/>
        </w:rPr>
        <w:t>or</w:t>
      </w:r>
      <w:r>
        <w:rPr>
          <w:color w:val="231F20"/>
          <w:spacing w:val="30"/>
        </w:rPr>
        <w:t> </w:t>
      </w:r>
      <w:r>
        <w:rPr>
          <w:color w:val="231F20"/>
          <w:spacing w:val="-2"/>
        </w:rPr>
        <w:t>bonuses.</w:t>
      </w:r>
    </w:p>
    <w:p>
      <w:pPr>
        <w:pStyle w:val="BodyText"/>
        <w:spacing w:after="0" w:line="280" w:lineRule="exact"/>
        <w:jc w:val="both"/>
        <w:sectPr>
          <w:pgSz w:w="11910" w:h="15880"/>
          <w:pgMar w:header="567" w:footer="573" w:top="1300" w:bottom="760" w:left="1275" w:right="1275"/>
        </w:sectPr>
      </w:pPr>
    </w:p>
    <w:p>
      <w:pPr>
        <w:pStyle w:val="BodyText"/>
        <w:spacing w:before="144"/>
      </w:pPr>
    </w:p>
    <w:p>
      <w:pPr>
        <w:pStyle w:val="ListParagraph"/>
        <w:numPr>
          <w:ilvl w:val="1"/>
          <w:numId w:val="5"/>
        </w:numPr>
        <w:tabs>
          <w:tab w:pos="1276" w:val="left" w:leader="none"/>
        </w:tabs>
        <w:spacing w:line="240" w:lineRule="auto" w:before="1" w:after="0"/>
        <w:ind w:left="1276" w:right="0" w:hanging="567"/>
        <w:jc w:val="left"/>
        <w:rPr>
          <w:i/>
          <w:sz w:val="20"/>
        </w:rPr>
      </w:pPr>
      <w:r>
        <w:rPr>
          <w:i/>
          <w:color w:val="231F20"/>
          <w:sz w:val="20"/>
        </w:rPr>
        <w:t>Shenzhen</w:t>
      </w:r>
      <w:r>
        <w:rPr>
          <w:i/>
          <w:color w:val="231F20"/>
          <w:spacing w:val="50"/>
          <w:sz w:val="20"/>
        </w:rPr>
        <w:t> </w:t>
      </w:r>
      <w:r>
        <w:rPr>
          <w:i/>
          <w:color w:val="231F20"/>
          <w:sz w:val="20"/>
        </w:rPr>
        <w:t>Connect</w:t>
      </w:r>
      <w:r>
        <w:rPr>
          <w:i/>
          <w:color w:val="231F20"/>
          <w:spacing w:val="50"/>
          <w:sz w:val="20"/>
        </w:rPr>
        <w:t> </w:t>
      </w:r>
      <w:r>
        <w:rPr>
          <w:i/>
          <w:color w:val="231F20"/>
          <w:spacing w:val="-2"/>
          <w:sz w:val="20"/>
        </w:rPr>
        <w:t>Investors</w:t>
      </w:r>
    </w:p>
    <w:p>
      <w:pPr>
        <w:pStyle w:val="BodyText"/>
        <w:spacing w:before="62"/>
        <w:rPr>
          <w:i/>
        </w:rPr>
      </w:pPr>
    </w:p>
    <w:p>
      <w:pPr>
        <w:pStyle w:val="BodyText"/>
        <w:spacing w:line="280" w:lineRule="exact"/>
        <w:ind w:left="709" w:right="129" w:firstLine="567"/>
        <w:jc w:val="both"/>
      </w:pPr>
      <w:r>
        <w:rPr>
          <w:color w:val="231F20"/>
        </w:rPr>
        <w:t>According</w:t>
      </w:r>
      <w:r>
        <w:rPr>
          <w:color w:val="231F20"/>
          <w:spacing w:val="33"/>
        </w:rPr>
        <w:t> </w:t>
      </w:r>
      <w:r>
        <w:rPr>
          <w:color w:val="231F20"/>
        </w:rPr>
        <w:t>to</w:t>
      </w:r>
      <w:r>
        <w:rPr>
          <w:color w:val="231F20"/>
          <w:spacing w:val="33"/>
        </w:rPr>
        <w:t> </w:t>
      </w:r>
      <w:r>
        <w:rPr>
          <w:color w:val="231F20"/>
        </w:rPr>
        <w:t>the</w:t>
      </w:r>
      <w:r>
        <w:rPr>
          <w:color w:val="231F20"/>
          <w:spacing w:val="33"/>
        </w:rPr>
        <w:t> </w:t>
      </w:r>
      <w:r>
        <w:rPr>
          <w:color w:val="231F20"/>
        </w:rPr>
        <w:t>Notice</w:t>
      </w:r>
      <w:r>
        <w:rPr>
          <w:color w:val="231F20"/>
          <w:spacing w:val="33"/>
        </w:rPr>
        <w:t> </w:t>
      </w:r>
      <w:r>
        <w:rPr>
          <w:color w:val="231F20"/>
        </w:rPr>
        <w:t>of</w:t>
      </w:r>
      <w:r>
        <w:rPr>
          <w:color w:val="231F20"/>
          <w:spacing w:val="33"/>
        </w:rPr>
        <w:t> </w:t>
      </w:r>
      <w:r>
        <w:rPr>
          <w:color w:val="231F20"/>
        </w:rPr>
        <w:t>the</w:t>
      </w:r>
      <w:r>
        <w:rPr>
          <w:color w:val="231F20"/>
          <w:spacing w:val="33"/>
        </w:rPr>
        <w:t> </w:t>
      </w:r>
      <w:r>
        <w:rPr>
          <w:color w:val="231F20"/>
        </w:rPr>
        <w:t>Ministry</w:t>
      </w:r>
      <w:r>
        <w:rPr>
          <w:color w:val="231F20"/>
          <w:spacing w:val="33"/>
        </w:rPr>
        <w:t> </w:t>
      </w:r>
      <w:r>
        <w:rPr>
          <w:color w:val="231F20"/>
        </w:rPr>
        <w:t>of</w:t>
      </w:r>
      <w:r>
        <w:rPr>
          <w:color w:val="231F20"/>
          <w:spacing w:val="33"/>
        </w:rPr>
        <w:t> </w:t>
      </w:r>
      <w:r>
        <w:rPr>
          <w:color w:val="231F20"/>
        </w:rPr>
        <w:t>Finance</w:t>
      </w:r>
      <w:r>
        <w:rPr>
          <w:color w:val="231F20"/>
          <w:spacing w:val="16"/>
        </w:rPr>
        <w:t>, </w:t>
      </w:r>
      <w:r>
        <w:rPr>
          <w:color w:val="231F20"/>
        </w:rPr>
        <w:t>the</w:t>
      </w:r>
      <w:r>
        <w:rPr>
          <w:color w:val="231F20"/>
          <w:spacing w:val="33"/>
        </w:rPr>
        <w:t> </w:t>
      </w:r>
      <w:r>
        <w:rPr>
          <w:color w:val="231F20"/>
        </w:rPr>
        <w:t>State</w:t>
      </w:r>
      <w:r>
        <w:rPr>
          <w:color w:val="231F20"/>
          <w:spacing w:val="33"/>
        </w:rPr>
        <w:t> </w:t>
      </w:r>
      <w:r>
        <w:rPr>
          <w:color w:val="231F20"/>
        </w:rPr>
        <w:t>Administration</w:t>
      </w:r>
      <w:r>
        <w:rPr>
          <w:color w:val="231F20"/>
          <w:spacing w:val="33"/>
        </w:rPr>
        <w:t> </w:t>
      </w:r>
      <w:r>
        <w:rPr>
          <w:color w:val="231F20"/>
        </w:rPr>
        <w:t>of</w:t>
      </w:r>
      <w:r>
        <w:rPr>
          <w:color w:val="231F20"/>
          <w:spacing w:val="33"/>
        </w:rPr>
        <w:t> </w:t>
      </w:r>
      <w:r>
        <w:rPr>
          <w:color w:val="231F20"/>
        </w:rPr>
        <w:t>Taxation</w:t>
      </w:r>
      <w:r>
        <w:rPr>
          <w:color w:val="231F20"/>
          <w:spacing w:val="33"/>
        </w:rPr>
        <w:t> </w:t>
      </w:r>
      <w:r>
        <w:rPr>
          <w:color w:val="231F20"/>
        </w:rPr>
        <w:t>and the</w:t>
      </w:r>
      <w:r>
        <w:rPr>
          <w:color w:val="231F20"/>
          <w:spacing w:val="40"/>
        </w:rPr>
        <w:t> </w:t>
      </w:r>
      <w:r>
        <w:rPr>
          <w:color w:val="231F20"/>
        </w:rPr>
        <w:t>China</w:t>
      </w:r>
      <w:r>
        <w:rPr>
          <w:color w:val="231F20"/>
          <w:spacing w:val="40"/>
        </w:rPr>
        <w:t> </w:t>
      </w:r>
      <w:r>
        <w:rPr>
          <w:color w:val="231F20"/>
        </w:rPr>
        <w:t>Securities</w:t>
      </w:r>
      <w:r>
        <w:rPr>
          <w:color w:val="231F20"/>
          <w:spacing w:val="40"/>
        </w:rPr>
        <w:t> </w:t>
      </w:r>
      <w:r>
        <w:rPr>
          <w:color w:val="231F20"/>
        </w:rPr>
        <w:t>Regulatory</w:t>
      </w:r>
      <w:r>
        <w:rPr>
          <w:color w:val="231F20"/>
          <w:spacing w:val="40"/>
        </w:rPr>
        <w:t> </w:t>
      </w:r>
      <w:r>
        <w:rPr>
          <w:color w:val="231F20"/>
        </w:rPr>
        <w:t>Commission</w:t>
      </w:r>
      <w:r>
        <w:rPr>
          <w:color w:val="231F20"/>
          <w:spacing w:val="40"/>
        </w:rPr>
        <w:t> </w:t>
      </w:r>
      <w:r>
        <w:rPr>
          <w:color w:val="231F20"/>
        </w:rPr>
        <w:t>on</w:t>
      </w:r>
      <w:r>
        <w:rPr>
          <w:color w:val="231F20"/>
          <w:spacing w:val="40"/>
        </w:rPr>
        <w:t> </w:t>
      </w:r>
      <w:r>
        <w:rPr>
          <w:color w:val="231F20"/>
        </w:rPr>
        <w:t>the</w:t>
      </w:r>
      <w:r>
        <w:rPr>
          <w:color w:val="231F20"/>
          <w:spacing w:val="40"/>
        </w:rPr>
        <w:t> </w:t>
      </w:r>
      <w:r>
        <w:rPr>
          <w:color w:val="231F20"/>
        </w:rPr>
        <w:t>Tax</w:t>
      </w:r>
      <w:r>
        <w:rPr>
          <w:color w:val="231F20"/>
          <w:spacing w:val="40"/>
        </w:rPr>
        <w:t> </w:t>
      </w:r>
      <w:r>
        <w:rPr>
          <w:color w:val="231F20"/>
        </w:rPr>
        <w:t>Policies</w:t>
      </w:r>
      <w:r>
        <w:rPr>
          <w:color w:val="231F20"/>
          <w:spacing w:val="40"/>
        </w:rPr>
        <w:t> </w:t>
      </w:r>
      <w:r>
        <w:rPr>
          <w:color w:val="231F20"/>
        </w:rPr>
        <w:t>Related</w:t>
      </w:r>
      <w:r>
        <w:rPr>
          <w:color w:val="231F20"/>
          <w:spacing w:val="40"/>
        </w:rPr>
        <w:t> </w:t>
      </w:r>
      <w:r>
        <w:rPr>
          <w:color w:val="231F20"/>
        </w:rPr>
        <w:t>to</w:t>
      </w:r>
      <w:r>
        <w:rPr>
          <w:color w:val="231F20"/>
          <w:spacing w:val="40"/>
        </w:rPr>
        <w:t> </w:t>
      </w:r>
      <w:r>
        <w:rPr>
          <w:color w:val="231F20"/>
        </w:rPr>
        <w:t>the</w:t>
      </w:r>
      <w:r>
        <w:rPr>
          <w:color w:val="231F20"/>
          <w:spacing w:val="40"/>
        </w:rPr>
        <w:t> </w:t>
      </w:r>
      <w:r>
        <w:rPr>
          <w:color w:val="231F20"/>
        </w:rPr>
        <w:t>Pilot</w:t>
      </w:r>
      <w:r>
        <w:rPr>
          <w:color w:val="231F20"/>
          <w:spacing w:val="40"/>
        </w:rPr>
        <w:t> </w:t>
      </w:r>
      <w:r>
        <w:rPr>
          <w:color w:val="231F20"/>
        </w:rPr>
        <w:t>Programme</w:t>
      </w:r>
      <w:r>
        <w:rPr>
          <w:color w:val="231F20"/>
          <w:spacing w:val="80"/>
        </w:rPr>
        <w:t> </w:t>
      </w:r>
      <w:r>
        <w:rPr>
          <w:color w:val="231F20"/>
        </w:rPr>
        <w:t>of</w:t>
      </w:r>
      <w:r>
        <w:rPr>
          <w:color w:val="231F20"/>
          <w:spacing w:val="40"/>
        </w:rPr>
        <w:t> </w:t>
      </w:r>
      <w:r>
        <w:rPr>
          <w:color w:val="231F20"/>
        </w:rPr>
        <w:t>the</w:t>
      </w:r>
      <w:r>
        <w:rPr>
          <w:color w:val="231F20"/>
          <w:spacing w:val="40"/>
        </w:rPr>
        <w:t> </w:t>
      </w:r>
      <w:r>
        <w:rPr>
          <w:color w:val="231F20"/>
        </w:rPr>
        <w:t>Shenzhen-Hong</w:t>
      </w:r>
      <w:r>
        <w:rPr>
          <w:color w:val="231F20"/>
          <w:spacing w:val="40"/>
        </w:rPr>
        <w:t> </w:t>
      </w:r>
      <w:r>
        <w:rPr>
          <w:color w:val="231F20"/>
        </w:rPr>
        <w:t>Kong</w:t>
      </w:r>
      <w:r>
        <w:rPr>
          <w:color w:val="231F20"/>
          <w:spacing w:val="40"/>
        </w:rPr>
        <w:t> </w:t>
      </w:r>
      <w:r>
        <w:rPr>
          <w:color w:val="231F20"/>
        </w:rPr>
        <w:t>Stock</w:t>
      </w:r>
      <w:r>
        <w:rPr>
          <w:color w:val="231F20"/>
          <w:spacing w:val="40"/>
        </w:rPr>
        <w:t> </w:t>
      </w:r>
      <w:r>
        <w:rPr>
          <w:color w:val="231F20"/>
        </w:rPr>
        <w:t>Connect</w:t>
      </w:r>
      <w:r>
        <w:rPr>
          <w:color w:val="231F20"/>
          <w:spacing w:val="40"/>
        </w:rPr>
        <w:t> </w:t>
      </w:r>
      <w:r>
        <w:rPr>
          <w:color w:val="231F20"/>
        </w:rPr>
        <w:t>(Cai</w:t>
      </w:r>
      <w:r>
        <w:rPr>
          <w:color w:val="231F20"/>
          <w:spacing w:val="40"/>
        </w:rPr>
        <w:t> </w:t>
      </w:r>
      <w:r>
        <w:rPr>
          <w:color w:val="231F20"/>
        </w:rPr>
        <w:t>Shui</w:t>
      </w:r>
      <w:r>
        <w:rPr>
          <w:color w:val="231F20"/>
          <w:spacing w:val="40"/>
        </w:rPr>
        <w:t> </w:t>
      </w:r>
      <w:r>
        <w:rPr>
          <w:color w:val="231F20"/>
        </w:rPr>
        <w:t>[2016]No</w:t>
      </w:r>
      <w:r>
        <w:rPr>
          <w:color w:val="231F20"/>
          <w:spacing w:val="20"/>
        </w:rPr>
        <w:t>. </w:t>
      </w:r>
      <w:r>
        <w:rPr>
          <w:color w:val="231F20"/>
        </w:rPr>
        <w:t>127</w:t>
      </w:r>
      <w:r>
        <w:rPr>
          <w:color w:val="231F20"/>
          <w:spacing w:val="13"/>
        </w:rPr>
        <w:t>) (</w:t>
      </w:r>
      <w:r>
        <w:rPr>
          <w:rFonts w:ascii="新細明體" w:eastAsia="新細明體"/>
          <w:color w:val="231F20"/>
        </w:rPr>
        <w:t>《財政部國家稅務總局證監會關於深港股票市場交易互聯互通機制試點有關稅收政策的通知》 </w:t>
      </w:r>
      <w:r>
        <w:rPr>
          <w:color w:val="231F20"/>
        </w:rPr>
        <w:t>(</w:t>
      </w:r>
      <w:r>
        <w:rPr>
          <w:rFonts w:ascii="新細明體" w:eastAsia="新細明體"/>
          <w:color w:val="231F20"/>
        </w:rPr>
        <w:t>財稅</w:t>
      </w:r>
      <w:r>
        <w:rPr>
          <w:color w:val="231F20"/>
        </w:rPr>
        <w:t>[2016]127</w:t>
      </w:r>
      <w:r>
        <w:rPr>
          <w:rFonts w:ascii="新細明體" w:eastAsia="新細明體"/>
          <w:color w:val="231F20"/>
        </w:rPr>
        <w:t>號</w:t>
      </w:r>
      <w:r>
        <w:rPr>
          <w:color w:val="231F20"/>
        </w:rPr>
        <w:t>)), </w:t>
      </w:r>
      <w:r>
        <w:rPr>
          <w:color w:val="231F20"/>
        </w:rPr>
        <w:t>for dividend and bonus income received by investors (including enterprises and individuals) in the Hong Kong market from investing in A shares listed on the Shenzhen Stock Exchange, before Hong Kong Securities Clearing Company Limited is able to provide the identity, holding period and other detailed information of the investors to China Securities Depository and Clearing Corporation Limited, the differentiated tax policies based on the holding period of shares shall not be implemented for the time being. Listed companies shall withhold income tax at the rate of 10% and make withholding declaration</w:t>
      </w:r>
      <w:r>
        <w:rPr>
          <w:color w:val="231F20"/>
          <w:spacing w:val="40"/>
        </w:rPr>
        <w:t> </w:t>
      </w:r>
      <w:r>
        <w:rPr>
          <w:color w:val="231F20"/>
        </w:rPr>
        <w:t>to</w:t>
      </w:r>
      <w:r>
        <w:rPr>
          <w:color w:val="231F20"/>
          <w:spacing w:val="32"/>
        </w:rPr>
        <w:t> </w:t>
      </w:r>
      <w:r>
        <w:rPr>
          <w:color w:val="231F20"/>
        </w:rPr>
        <w:t>their</w:t>
      </w:r>
      <w:r>
        <w:rPr>
          <w:color w:val="231F20"/>
          <w:spacing w:val="32"/>
        </w:rPr>
        <w:t> </w:t>
      </w:r>
      <w:r>
        <w:rPr>
          <w:color w:val="231F20"/>
        </w:rPr>
        <w:t>competent</w:t>
      </w:r>
      <w:r>
        <w:rPr>
          <w:color w:val="231F20"/>
          <w:spacing w:val="32"/>
        </w:rPr>
        <w:t> </w:t>
      </w:r>
      <w:r>
        <w:rPr>
          <w:color w:val="231F20"/>
        </w:rPr>
        <w:t>tax</w:t>
      </w:r>
      <w:r>
        <w:rPr>
          <w:color w:val="231F20"/>
          <w:spacing w:val="32"/>
        </w:rPr>
        <w:t> </w:t>
      </w:r>
      <w:r>
        <w:rPr>
          <w:color w:val="231F20"/>
        </w:rPr>
        <w:t>authorities</w:t>
      </w:r>
      <w:r>
        <w:rPr>
          <w:color w:val="231F20"/>
          <w:spacing w:val="16"/>
        </w:rPr>
        <w:t>. </w:t>
      </w:r>
      <w:r>
        <w:rPr>
          <w:color w:val="231F20"/>
        </w:rPr>
        <w:t>For</w:t>
      </w:r>
      <w:r>
        <w:rPr>
          <w:color w:val="231F20"/>
          <w:spacing w:val="32"/>
        </w:rPr>
        <w:t> </w:t>
      </w:r>
      <w:r>
        <w:rPr>
          <w:color w:val="231F20"/>
        </w:rPr>
        <w:t>Hong</w:t>
      </w:r>
      <w:r>
        <w:rPr>
          <w:color w:val="231F20"/>
          <w:spacing w:val="32"/>
        </w:rPr>
        <w:t> </w:t>
      </w:r>
      <w:r>
        <w:rPr>
          <w:color w:val="231F20"/>
        </w:rPr>
        <w:t>Kong</w:t>
      </w:r>
      <w:r>
        <w:rPr>
          <w:color w:val="231F20"/>
          <w:spacing w:val="32"/>
        </w:rPr>
        <w:t> </w:t>
      </w:r>
      <w:r>
        <w:rPr>
          <w:color w:val="231F20"/>
        </w:rPr>
        <w:t>investors</w:t>
      </w:r>
      <w:r>
        <w:rPr>
          <w:color w:val="231F20"/>
          <w:spacing w:val="32"/>
        </w:rPr>
        <w:t> </w:t>
      </w:r>
      <w:r>
        <w:rPr>
          <w:color w:val="231F20"/>
        </w:rPr>
        <w:t>who</w:t>
      </w:r>
      <w:r>
        <w:rPr>
          <w:color w:val="231F20"/>
          <w:spacing w:val="32"/>
        </w:rPr>
        <w:t> </w:t>
      </w:r>
      <w:r>
        <w:rPr>
          <w:color w:val="231F20"/>
        </w:rPr>
        <w:t>are</w:t>
      </w:r>
      <w:r>
        <w:rPr>
          <w:color w:val="231F20"/>
          <w:spacing w:val="32"/>
        </w:rPr>
        <w:t> </w:t>
      </w:r>
      <w:r>
        <w:rPr>
          <w:color w:val="231F20"/>
        </w:rPr>
        <w:t>tax</w:t>
      </w:r>
      <w:r>
        <w:rPr>
          <w:color w:val="231F20"/>
          <w:spacing w:val="32"/>
        </w:rPr>
        <w:t> </w:t>
      </w:r>
      <w:r>
        <w:rPr>
          <w:color w:val="231F20"/>
        </w:rPr>
        <w:t>residents</w:t>
      </w:r>
      <w:r>
        <w:rPr>
          <w:color w:val="231F20"/>
          <w:spacing w:val="32"/>
        </w:rPr>
        <w:t> </w:t>
      </w:r>
      <w:r>
        <w:rPr>
          <w:color w:val="231F20"/>
        </w:rPr>
        <w:t>of</w:t>
      </w:r>
      <w:r>
        <w:rPr>
          <w:color w:val="231F20"/>
          <w:spacing w:val="32"/>
        </w:rPr>
        <w:t> </w:t>
      </w:r>
      <w:r>
        <w:rPr>
          <w:color w:val="231F20"/>
        </w:rPr>
        <w:t>other</w:t>
      </w:r>
      <w:r>
        <w:rPr>
          <w:color w:val="231F20"/>
          <w:spacing w:val="32"/>
        </w:rPr>
        <w:t> </w:t>
      </w:r>
      <w:r>
        <w:rPr>
          <w:color w:val="231F20"/>
        </w:rPr>
        <w:t>countries and</w:t>
      </w:r>
      <w:r>
        <w:rPr>
          <w:color w:val="231F20"/>
          <w:spacing w:val="11"/>
        </w:rPr>
        <w:t> </w:t>
      </w:r>
      <w:r>
        <w:rPr>
          <w:color w:val="231F20"/>
        </w:rPr>
        <w:t>whose</w:t>
      </w:r>
      <w:r>
        <w:rPr>
          <w:color w:val="231F20"/>
          <w:spacing w:val="11"/>
        </w:rPr>
        <w:t> </w:t>
      </w:r>
      <w:r>
        <w:rPr>
          <w:color w:val="231F20"/>
        </w:rPr>
        <w:t>country</w:t>
      </w:r>
      <w:r>
        <w:rPr>
          <w:color w:val="231F20"/>
          <w:spacing w:val="11"/>
        </w:rPr>
        <w:t> </w:t>
      </w:r>
      <w:r>
        <w:rPr>
          <w:color w:val="231F20"/>
        </w:rPr>
        <w:t>of</w:t>
      </w:r>
      <w:r>
        <w:rPr>
          <w:color w:val="231F20"/>
          <w:spacing w:val="11"/>
        </w:rPr>
        <w:t> </w:t>
      </w:r>
      <w:r>
        <w:rPr>
          <w:color w:val="231F20"/>
        </w:rPr>
        <w:t>domicile</w:t>
      </w:r>
      <w:r>
        <w:rPr>
          <w:color w:val="231F20"/>
          <w:spacing w:val="11"/>
        </w:rPr>
        <w:t> </w:t>
      </w:r>
      <w:r>
        <w:rPr>
          <w:color w:val="231F20"/>
        </w:rPr>
        <w:t>is</w:t>
      </w:r>
      <w:r>
        <w:rPr>
          <w:color w:val="231F20"/>
          <w:spacing w:val="11"/>
        </w:rPr>
        <w:t> </w:t>
      </w:r>
      <w:r>
        <w:rPr>
          <w:color w:val="231F20"/>
        </w:rPr>
        <w:t>a</w:t>
      </w:r>
      <w:r>
        <w:rPr>
          <w:color w:val="231F20"/>
          <w:spacing w:val="11"/>
        </w:rPr>
        <w:t> </w:t>
      </w:r>
      <w:r>
        <w:rPr>
          <w:color w:val="231F20"/>
        </w:rPr>
        <w:t>country</w:t>
      </w:r>
      <w:r>
        <w:rPr>
          <w:color w:val="231F20"/>
          <w:spacing w:val="11"/>
        </w:rPr>
        <w:t> </w:t>
      </w:r>
      <w:r>
        <w:rPr>
          <w:color w:val="231F20"/>
        </w:rPr>
        <w:t>which</w:t>
      </w:r>
      <w:r>
        <w:rPr>
          <w:color w:val="231F20"/>
          <w:spacing w:val="11"/>
        </w:rPr>
        <w:t> </w:t>
      </w:r>
      <w:r>
        <w:rPr>
          <w:color w:val="231F20"/>
        </w:rPr>
        <w:t>has</w:t>
      </w:r>
      <w:r>
        <w:rPr>
          <w:color w:val="231F20"/>
          <w:spacing w:val="11"/>
        </w:rPr>
        <w:t> </w:t>
      </w:r>
      <w:r>
        <w:rPr>
          <w:color w:val="231F20"/>
        </w:rPr>
        <w:t>entered</w:t>
      </w:r>
      <w:r>
        <w:rPr>
          <w:color w:val="231F20"/>
          <w:spacing w:val="11"/>
        </w:rPr>
        <w:t> </w:t>
      </w:r>
      <w:r>
        <w:rPr>
          <w:color w:val="231F20"/>
        </w:rPr>
        <w:t>into</w:t>
      </w:r>
      <w:r>
        <w:rPr>
          <w:color w:val="231F20"/>
          <w:spacing w:val="11"/>
        </w:rPr>
        <w:t> </w:t>
      </w:r>
      <w:r>
        <w:rPr>
          <w:color w:val="231F20"/>
        </w:rPr>
        <w:t>a</w:t>
      </w:r>
      <w:r>
        <w:rPr>
          <w:color w:val="231F20"/>
          <w:spacing w:val="11"/>
        </w:rPr>
        <w:t> </w:t>
      </w:r>
      <w:r>
        <w:rPr>
          <w:color w:val="231F20"/>
        </w:rPr>
        <w:t>tax</w:t>
      </w:r>
      <w:r>
        <w:rPr>
          <w:color w:val="231F20"/>
          <w:spacing w:val="11"/>
        </w:rPr>
        <w:t> </w:t>
      </w:r>
      <w:r>
        <w:rPr>
          <w:color w:val="231F20"/>
        </w:rPr>
        <w:t>treaty</w:t>
      </w:r>
      <w:r>
        <w:rPr>
          <w:color w:val="231F20"/>
          <w:spacing w:val="11"/>
        </w:rPr>
        <w:t> </w:t>
      </w:r>
      <w:r>
        <w:rPr>
          <w:color w:val="231F20"/>
        </w:rPr>
        <w:t>with</w:t>
      </w:r>
      <w:r>
        <w:rPr>
          <w:color w:val="231F20"/>
          <w:spacing w:val="11"/>
        </w:rPr>
        <w:t> </w:t>
      </w:r>
      <w:r>
        <w:rPr>
          <w:color w:val="231F20"/>
        </w:rPr>
        <w:t>the</w:t>
      </w:r>
      <w:r>
        <w:rPr>
          <w:color w:val="231F20"/>
          <w:spacing w:val="11"/>
        </w:rPr>
        <w:t> </w:t>
      </w:r>
      <w:r>
        <w:rPr>
          <w:color w:val="231F20"/>
        </w:rPr>
        <w:t>PRC</w:t>
      </w:r>
      <w:r>
        <w:rPr>
          <w:color w:val="231F20"/>
          <w:spacing w:val="11"/>
        </w:rPr>
        <w:t> </w:t>
      </w:r>
      <w:r>
        <w:rPr>
          <w:color w:val="231F20"/>
        </w:rPr>
        <w:t>stipulating a dividend and bonus tax rate of lower than 10%, such enterprises and individuals may apply to the competent tax authorities of the Company for the entitlement of the rate under such tax treaty. Upon approval</w:t>
      </w:r>
      <w:r>
        <w:rPr>
          <w:color w:val="231F20"/>
          <w:spacing w:val="27"/>
        </w:rPr>
        <w:t> </w:t>
      </w:r>
      <w:r>
        <w:rPr>
          <w:color w:val="231F20"/>
        </w:rPr>
        <w:t>by</w:t>
      </w:r>
      <w:r>
        <w:rPr>
          <w:color w:val="231F20"/>
          <w:spacing w:val="27"/>
        </w:rPr>
        <w:t> </w:t>
      </w:r>
      <w:r>
        <w:rPr>
          <w:color w:val="231F20"/>
        </w:rPr>
        <w:t>the</w:t>
      </w:r>
      <w:r>
        <w:rPr>
          <w:color w:val="231F20"/>
          <w:spacing w:val="27"/>
        </w:rPr>
        <w:t> </w:t>
      </w:r>
      <w:r>
        <w:rPr>
          <w:color w:val="231F20"/>
        </w:rPr>
        <w:t>competent</w:t>
      </w:r>
      <w:r>
        <w:rPr>
          <w:color w:val="231F20"/>
          <w:spacing w:val="27"/>
        </w:rPr>
        <w:t> </w:t>
      </w:r>
      <w:r>
        <w:rPr>
          <w:color w:val="231F20"/>
        </w:rPr>
        <w:t>tax</w:t>
      </w:r>
      <w:r>
        <w:rPr>
          <w:color w:val="231F20"/>
          <w:spacing w:val="27"/>
        </w:rPr>
        <w:t> </w:t>
      </w:r>
      <w:r>
        <w:rPr>
          <w:color w:val="231F20"/>
        </w:rPr>
        <w:t>authorities</w:t>
      </w:r>
      <w:r>
        <w:rPr>
          <w:color w:val="231F20"/>
          <w:spacing w:val="13"/>
        </w:rPr>
        <w:t>, </w:t>
      </w:r>
      <w:r>
        <w:rPr>
          <w:color w:val="231F20"/>
        </w:rPr>
        <w:t>the</w:t>
      </w:r>
      <w:r>
        <w:rPr>
          <w:color w:val="231F20"/>
          <w:spacing w:val="27"/>
        </w:rPr>
        <w:t> </w:t>
      </w:r>
      <w:r>
        <w:rPr>
          <w:color w:val="231F20"/>
        </w:rPr>
        <w:t>paid</w:t>
      </w:r>
      <w:r>
        <w:rPr>
          <w:color w:val="231F20"/>
          <w:spacing w:val="27"/>
        </w:rPr>
        <w:t> </w:t>
      </w:r>
      <w:r>
        <w:rPr>
          <w:color w:val="231F20"/>
        </w:rPr>
        <w:t>amount</w:t>
      </w:r>
      <w:r>
        <w:rPr>
          <w:color w:val="231F20"/>
          <w:spacing w:val="27"/>
        </w:rPr>
        <w:t> </w:t>
      </w:r>
      <w:r>
        <w:rPr>
          <w:color w:val="231F20"/>
        </w:rPr>
        <w:t>in</w:t>
      </w:r>
      <w:r>
        <w:rPr>
          <w:color w:val="231F20"/>
          <w:spacing w:val="27"/>
        </w:rPr>
        <w:t> </w:t>
      </w:r>
      <w:r>
        <w:rPr>
          <w:color w:val="231F20"/>
        </w:rPr>
        <w:t>excess</w:t>
      </w:r>
      <w:r>
        <w:rPr>
          <w:color w:val="231F20"/>
          <w:spacing w:val="27"/>
        </w:rPr>
        <w:t> </w:t>
      </w:r>
      <w:r>
        <w:rPr>
          <w:color w:val="231F20"/>
        </w:rPr>
        <w:t>of</w:t>
      </w:r>
      <w:r>
        <w:rPr>
          <w:color w:val="231F20"/>
          <w:spacing w:val="27"/>
        </w:rPr>
        <w:t> </w:t>
      </w:r>
      <w:r>
        <w:rPr>
          <w:color w:val="231F20"/>
        </w:rPr>
        <w:t>the</w:t>
      </w:r>
      <w:r>
        <w:rPr>
          <w:color w:val="231F20"/>
          <w:spacing w:val="27"/>
        </w:rPr>
        <w:t> </w:t>
      </w:r>
      <w:r>
        <w:rPr>
          <w:color w:val="231F20"/>
        </w:rPr>
        <w:t>tax</w:t>
      </w:r>
      <w:r>
        <w:rPr>
          <w:color w:val="231F20"/>
          <w:spacing w:val="27"/>
        </w:rPr>
        <w:t> </w:t>
      </w:r>
      <w:r>
        <w:rPr>
          <w:color w:val="231F20"/>
        </w:rPr>
        <w:t>payable</w:t>
      </w:r>
      <w:r>
        <w:rPr>
          <w:color w:val="231F20"/>
          <w:spacing w:val="27"/>
        </w:rPr>
        <w:t> </w:t>
      </w:r>
      <w:r>
        <w:rPr>
          <w:color w:val="231F20"/>
        </w:rPr>
        <w:t>based</w:t>
      </w:r>
      <w:r>
        <w:rPr>
          <w:color w:val="231F20"/>
          <w:spacing w:val="27"/>
        </w:rPr>
        <w:t> </w:t>
      </w:r>
      <w:r>
        <w:rPr>
          <w:color w:val="231F20"/>
        </w:rPr>
        <w:t>on</w:t>
      </w:r>
      <w:r>
        <w:rPr>
          <w:color w:val="231F20"/>
          <w:spacing w:val="27"/>
        </w:rPr>
        <w:t> </w:t>
      </w:r>
      <w:r>
        <w:rPr>
          <w:color w:val="231F20"/>
        </w:rPr>
        <w:t>the tax</w:t>
      </w:r>
      <w:r>
        <w:rPr>
          <w:color w:val="231F20"/>
          <w:spacing w:val="40"/>
        </w:rPr>
        <w:t> </w:t>
      </w:r>
      <w:r>
        <w:rPr>
          <w:color w:val="231F20"/>
        </w:rPr>
        <w:t>rate</w:t>
      </w:r>
      <w:r>
        <w:rPr>
          <w:color w:val="231F20"/>
          <w:spacing w:val="40"/>
        </w:rPr>
        <w:t> </w:t>
      </w:r>
      <w:r>
        <w:rPr>
          <w:color w:val="231F20"/>
        </w:rPr>
        <w:t>according</w:t>
      </w:r>
      <w:r>
        <w:rPr>
          <w:color w:val="231F20"/>
          <w:spacing w:val="40"/>
        </w:rPr>
        <w:t> </w:t>
      </w:r>
      <w:r>
        <w:rPr>
          <w:color w:val="231F20"/>
        </w:rPr>
        <w:t>to</w:t>
      </w:r>
      <w:r>
        <w:rPr>
          <w:color w:val="231F20"/>
          <w:spacing w:val="40"/>
        </w:rPr>
        <w:t> </w:t>
      </w:r>
      <w:r>
        <w:rPr>
          <w:color w:val="231F20"/>
        </w:rPr>
        <w:t>such</w:t>
      </w:r>
      <w:r>
        <w:rPr>
          <w:color w:val="231F20"/>
          <w:spacing w:val="40"/>
        </w:rPr>
        <w:t> </w:t>
      </w:r>
      <w:r>
        <w:rPr>
          <w:color w:val="231F20"/>
        </w:rPr>
        <w:t>tax</w:t>
      </w:r>
      <w:r>
        <w:rPr>
          <w:color w:val="231F20"/>
          <w:spacing w:val="40"/>
        </w:rPr>
        <w:t> </w:t>
      </w:r>
      <w:r>
        <w:rPr>
          <w:color w:val="231F20"/>
        </w:rPr>
        <w:t>treaty</w:t>
      </w:r>
      <w:r>
        <w:rPr>
          <w:color w:val="231F20"/>
          <w:spacing w:val="40"/>
        </w:rPr>
        <w:t> </w:t>
      </w:r>
      <w:r>
        <w:rPr>
          <w:color w:val="231F20"/>
        </w:rPr>
        <w:t>shall</w:t>
      </w:r>
      <w:r>
        <w:rPr>
          <w:color w:val="231F20"/>
          <w:spacing w:val="40"/>
        </w:rPr>
        <w:t> </w:t>
      </w:r>
      <w:r>
        <w:rPr>
          <w:color w:val="231F20"/>
        </w:rPr>
        <w:t>be</w:t>
      </w:r>
      <w:r>
        <w:rPr>
          <w:color w:val="231F20"/>
          <w:spacing w:val="40"/>
        </w:rPr>
        <w:t> </w:t>
      </w:r>
      <w:r>
        <w:rPr>
          <w:color w:val="231F20"/>
        </w:rPr>
        <w:t>refunded.</w:t>
      </w:r>
    </w:p>
    <w:p>
      <w:pPr>
        <w:pStyle w:val="BodyText"/>
        <w:spacing w:before="88"/>
      </w:pPr>
    </w:p>
    <w:p>
      <w:pPr>
        <w:pStyle w:val="ListParagraph"/>
        <w:numPr>
          <w:ilvl w:val="1"/>
          <w:numId w:val="5"/>
        </w:numPr>
        <w:tabs>
          <w:tab w:pos="1276" w:val="left" w:leader="none"/>
        </w:tabs>
        <w:spacing w:line="240" w:lineRule="auto" w:before="0" w:after="0"/>
        <w:ind w:left="1276" w:right="0" w:hanging="567"/>
        <w:jc w:val="left"/>
        <w:rPr>
          <w:i/>
          <w:sz w:val="20"/>
        </w:rPr>
      </w:pPr>
      <w:r>
        <w:rPr>
          <w:i/>
          <w:color w:val="231F20"/>
          <w:sz w:val="20"/>
        </w:rPr>
        <w:t>Other</w:t>
      </w:r>
      <w:r>
        <w:rPr>
          <w:i/>
          <w:color w:val="231F20"/>
          <w:spacing w:val="26"/>
          <w:sz w:val="20"/>
        </w:rPr>
        <w:t> </w:t>
      </w:r>
      <w:r>
        <w:rPr>
          <w:i/>
          <w:color w:val="231F20"/>
          <w:sz w:val="20"/>
        </w:rPr>
        <w:t>Institutional</w:t>
      </w:r>
      <w:r>
        <w:rPr>
          <w:i/>
          <w:color w:val="231F20"/>
          <w:spacing w:val="27"/>
          <w:sz w:val="20"/>
        </w:rPr>
        <w:t> </w:t>
      </w:r>
      <w:r>
        <w:rPr>
          <w:i/>
          <w:color w:val="231F20"/>
          <w:sz w:val="20"/>
        </w:rPr>
        <w:t>Investors</w:t>
      </w:r>
      <w:r>
        <w:rPr>
          <w:i/>
          <w:color w:val="231F20"/>
          <w:spacing w:val="26"/>
          <w:sz w:val="20"/>
        </w:rPr>
        <w:t> </w:t>
      </w:r>
      <w:r>
        <w:rPr>
          <w:i/>
          <w:color w:val="231F20"/>
          <w:sz w:val="20"/>
        </w:rPr>
        <w:t>and</w:t>
      </w:r>
      <w:r>
        <w:rPr>
          <w:i/>
          <w:color w:val="231F20"/>
          <w:spacing w:val="27"/>
          <w:sz w:val="20"/>
        </w:rPr>
        <w:t> </w:t>
      </w:r>
      <w:r>
        <w:rPr>
          <w:i/>
          <w:color w:val="231F20"/>
          <w:sz w:val="20"/>
        </w:rPr>
        <w:t>Corporate</w:t>
      </w:r>
      <w:r>
        <w:rPr>
          <w:i/>
          <w:color w:val="231F20"/>
          <w:spacing w:val="26"/>
          <w:sz w:val="20"/>
        </w:rPr>
        <w:t> </w:t>
      </w:r>
      <w:r>
        <w:rPr>
          <w:i/>
          <w:color w:val="231F20"/>
          <w:spacing w:val="-2"/>
          <w:sz w:val="20"/>
        </w:rPr>
        <w:t>Shareholders</w:t>
      </w:r>
    </w:p>
    <w:p>
      <w:pPr>
        <w:pStyle w:val="BodyText"/>
        <w:spacing w:before="100"/>
        <w:rPr>
          <w:i/>
        </w:rPr>
      </w:pPr>
    </w:p>
    <w:p>
      <w:pPr>
        <w:pStyle w:val="BodyText"/>
        <w:spacing w:line="292" w:lineRule="auto"/>
        <w:ind w:left="709" w:right="134" w:firstLine="567"/>
        <w:jc w:val="both"/>
      </w:pPr>
      <w:r>
        <w:rPr>
          <w:color w:val="231F20"/>
        </w:rPr>
        <w:t>The</w:t>
      </w:r>
      <w:r>
        <w:rPr>
          <w:color w:val="231F20"/>
          <w:spacing w:val="40"/>
        </w:rPr>
        <w:t> </w:t>
      </w:r>
      <w:r>
        <w:rPr>
          <w:color w:val="231F20"/>
        </w:rPr>
        <w:t>Company</w:t>
      </w:r>
      <w:r>
        <w:rPr>
          <w:color w:val="231F20"/>
          <w:spacing w:val="40"/>
        </w:rPr>
        <w:t> </w:t>
      </w:r>
      <w:r>
        <w:rPr>
          <w:color w:val="231F20"/>
        </w:rPr>
        <w:t>shall</w:t>
      </w:r>
      <w:r>
        <w:rPr>
          <w:color w:val="231F20"/>
          <w:spacing w:val="40"/>
        </w:rPr>
        <w:t> </w:t>
      </w:r>
      <w:r>
        <w:rPr>
          <w:color w:val="231F20"/>
        </w:rPr>
        <w:t>not</w:t>
      </w:r>
      <w:r>
        <w:rPr>
          <w:color w:val="231F20"/>
          <w:spacing w:val="40"/>
        </w:rPr>
        <w:t> </w:t>
      </w:r>
      <w:r>
        <w:rPr>
          <w:color w:val="231F20"/>
        </w:rPr>
        <w:t>withhold</w:t>
      </w:r>
      <w:r>
        <w:rPr>
          <w:color w:val="231F20"/>
          <w:spacing w:val="40"/>
        </w:rPr>
        <w:t> </w:t>
      </w:r>
      <w:r>
        <w:rPr>
          <w:color w:val="231F20"/>
        </w:rPr>
        <w:t>the</w:t>
      </w:r>
      <w:r>
        <w:rPr>
          <w:color w:val="231F20"/>
          <w:spacing w:val="40"/>
        </w:rPr>
        <w:t> </w:t>
      </w:r>
      <w:r>
        <w:rPr>
          <w:color w:val="231F20"/>
        </w:rPr>
        <w:t>enterprise</w:t>
      </w:r>
      <w:r>
        <w:rPr>
          <w:color w:val="231F20"/>
          <w:spacing w:val="40"/>
        </w:rPr>
        <w:t> </w:t>
      </w:r>
      <w:r>
        <w:rPr>
          <w:color w:val="231F20"/>
        </w:rPr>
        <w:t>income</w:t>
      </w:r>
      <w:r>
        <w:rPr>
          <w:color w:val="231F20"/>
          <w:spacing w:val="40"/>
        </w:rPr>
        <w:t> </w:t>
      </w:r>
      <w:r>
        <w:rPr>
          <w:color w:val="231F20"/>
        </w:rPr>
        <w:t>tax,</w:t>
      </w:r>
      <w:r>
        <w:rPr>
          <w:color w:val="231F20"/>
          <w:spacing w:val="40"/>
        </w:rPr>
        <w:t> </w:t>
      </w:r>
      <w:r>
        <w:rPr>
          <w:color w:val="231F20"/>
        </w:rPr>
        <w:t>and</w:t>
      </w:r>
      <w:r>
        <w:rPr>
          <w:color w:val="231F20"/>
          <w:spacing w:val="40"/>
        </w:rPr>
        <w:t> </w:t>
      </w:r>
      <w:r>
        <w:rPr>
          <w:color w:val="231F20"/>
        </w:rPr>
        <w:t>the</w:t>
      </w:r>
      <w:r>
        <w:rPr>
          <w:color w:val="231F20"/>
          <w:spacing w:val="40"/>
        </w:rPr>
        <w:t> </w:t>
      </w:r>
      <w:r>
        <w:rPr>
          <w:color w:val="231F20"/>
        </w:rPr>
        <w:t>taxpayer</w:t>
      </w:r>
      <w:r>
        <w:rPr>
          <w:color w:val="231F20"/>
          <w:spacing w:val="40"/>
        </w:rPr>
        <w:t> </w:t>
      </w:r>
      <w:r>
        <w:rPr>
          <w:color w:val="231F20"/>
        </w:rPr>
        <w:t>shall</w:t>
      </w:r>
      <w:r>
        <w:rPr>
          <w:color w:val="231F20"/>
          <w:spacing w:val="40"/>
        </w:rPr>
        <w:t> </w:t>
      </w:r>
      <w:r>
        <w:rPr>
          <w:color w:val="231F20"/>
        </w:rPr>
        <w:t>make</w:t>
      </w:r>
      <w:r>
        <w:rPr>
          <w:color w:val="231F20"/>
          <w:spacing w:val="40"/>
        </w:rPr>
        <w:t> </w:t>
      </w:r>
      <w:r>
        <w:rPr>
          <w:color w:val="231F20"/>
        </w:rPr>
        <w:t>its own judgment as to whether it should pay the local enterprise income tax in accordance with the provisions of the tax law.</w:t>
      </w:r>
    </w:p>
    <w:p>
      <w:pPr>
        <w:pStyle w:val="BodyText"/>
        <w:spacing w:before="48"/>
      </w:pPr>
    </w:p>
    <w:p>
      <w:pPr>
        <w:pStyle w:val="Heading5"/>
        <w:ind w:left="709" w:firstLine="0"/>
        <w:rPr>
          <w:i/>
        </w:rPr>
      </w:pPr>
      <w:r>
        <w:rPr>
          <w:i/>
          <w:color w:val="231F20"/>
        </w:rPr>
        <w:t>H</w:t>
      </w:r>
      <w:r>
        <w:rPr>
          <w:i/>
          <w:color w:val="231F20"/>
          <w:spacing w:val="10"/>
        </w:rPr>
        <w:t> </w:t>
      </w:r>
      <w:r>
        <w:rPr>
          <w:i/>
          <w:color w:val="231F20"/>
          <w:spacing w:val="-2"/>
        </w:rPr>
        <w:t>Shareholders</w:t>
      </w:r>
    </w:p>
    <w:p>
      <w:pPr>
        <w:pStyle w:val="BodyText"/>
        <w:spacing w:before="100"/>
        <w:rPr>
          <w:b/>
          <w:i/>
        </w:rPr>
      </w:pPr>
    </w:p>
    <w:p>
      <w:pPr>
        <w:pStyle w:val="ListParagraph"/>
        <w:numPr>
          <w:ilvl w:val="0"/>
          <w:numId w:val="6"/>
        </w:numPr>
        <w:tabs>
          <w:tab w:pos="1276" w:val="left" w:leader="none"/>
        </w:tabs>
        <w:spacing w:line="240" w:lineRule="auto" w:before="0" w:after="0"/>
        <w:ind w:left="1276" w:right="0" w:hanging="567"/>
        <w:jc w:val="left"/>
        <w:rPr>
          <w:i/>
          <w:color w:val="231F20"/>
          <w:sz w:val="20"/>
        </w:rPr>
      </w:pPr>
      <w:r>
        <w:rPr>
          <w:i/>
          <w:color w:val="231F20"/>
          <w:sz w:val="20"/>
        </w:rPr>
        <w:t>Individual</w:t>
      </w:r>
      <w:r>
        <w:rPr>
          <w:i/>
          <w:color w:val="231F20"/>
          <w:spacing w:val="55"/>
          <w:sz w:val="20"/>
        </w:rPr>
        <w:t> </w:t>
      </w:r>
      <w:r>
        <w:rPr>
          <w:i/>
          <w:color w:val="231F20"/>
          <w:spacing w:val="-2"/>
          <w:sz w:val="20"/>
        </w:rPr>
        <w:t>Investors</w:t>
      </w:r>
    </w:p>
    <w:p>
      <w:pPr>
        <w:pStyle w:val="BodyText"/>
        <w:spacing w:before="63"/>
        <w:rPr>
          <w:i/>
        </w:rPr>
      </w:pPr>
    </w:p>
    <w:p>
      <w:pPr>
        <w:pStyle w:val="BodyText"/>
        <w:spacing w:line="280" w:lineRule="exact"/>
        <w:ind w:left="709" w:right="128" w:firstLine="567"/>
        <w:jc w:val="both"/>
      </w:pPr>
      <w:r>
        <w:rPr>
          <w:color w:val="231F20"/>
        </w:rPr>
        <w:t>Pursuant to the Notice of the State Administration of Taxation on Issues Concerning Individual Income</w:t>
      </w:r>
      <w:r>
        <w:rPr>
          <w:color w:val="231F20"/>
          <w:spacing w:val="40"/>
        </w:rPr>
        <w:t> </w:t>
      </w:r>
      <w:r>
        <w:rPr>
          <w:color w:val="231F20"/>
        </w:rPr>
        <w:t>Tax</w:t>
      </w:r>
      <w:r>
        <w:rPr>
          <w:color w:val="231F20"/>
          <w:spacing w:val="40"/>
        </w:rPr>
        <w:t> </w:t>
      </w:r>
      <w:r>
        <w:rPr>
          <w:color w:val="231F20"/>
        </w:rPr>
        <w:t>Collection</w:t>
      </w:r>
      <w:r>
        <w:rPr>
          <w:color w:val="231F20"/>
          <w:spacing w:val="40"/>
        </w:rPr>
        <w:t> </w:t>
      </w:r>
      <w:r>
        <w:rPr>
          <w:color w:val="231F20"/>
        </w:rPr>
        <w:t>and</w:t>
      </w:r>
      <w:r>
        <w:rPr>
          <w:color w:val="231F20"/>
          <w:spacing w:val="40"/>
        </w:rPr>
        <w:t> </w:t>
      </w:r>
      <w:r>
        <w:rPr>
          <w:color w:val="231F20"/>
        </w:rPr>
        <w:t>Management</w:t>
      </w:r>
      <w:r>
        <w:rPr>
          <w:color w:val="231F20"/>
          <w:spacing w:val="40"/>
        </w:rPr>
        <w:t> </w:t>
      </w:r>
      <w:r>
        <w:rPr>
          <w:color w:val="231F20"/>
        </w:rPr>
        <w:t>after</w:t>
      </w:r>
      <w:r>
        <w:rPr>
          <w:color w:val="231F20"/>
          <w:spacing w:val="40"/>
        </w:rPr>
        <w:t> </w:t>
      </w:r>
      <w:r>
        <w:rPr>
          <w:color w:val="231F20"/>
        </w:rPr>
        <w:t>the</w:t>
      </w:r>
      <w:r>
        <w:rPr>
          <w:color w:val="231F20"/>
          <w:spacing w:val="40"/>
        </w:rPr>
        <w:t> </w:t>
      </w:r>
      <w:r>
        <w:rPr>
          <w:color w:val="231F20"/>
        </w:rPr>
        <w:t>Repeal</w:t>
      </w:r>
      <w:r>
        <w:rPr>
          <w:color w:val="231F20"/>
          <w:spacing w:val="40"/>
        </w:rPr>
        <w:t> </w:t>
      </w:r>
      <w:r>
        <w:rPr>
          <w:color w:val="231F20"/>
        </w:rPr>
        <w:t>of</w:t>
      </w:r>
      <w:r>
        <w:rPr>
          <w:color w:val="231F20"/>
          <w:spacing w:val="40"/>
        </w:rPr>
        <w:t> </w:t>
      </w:r>
      <w:r>
        <w:rPr>
          <w:color w:val="231F20"/>
        </w:rPr>
        <w:t>Guo</w:t>
      </w:r>
      <w:r>
        <w:rPr>
          <w:color w:val="231F20"/>
          <w:spacing w:val="40"/>
        </w:rPr>
        <w:t> </w:t>
      </w:r>
      <w:r>
        <w:rPr>
          <w:color w:val="231F20"/>
        </w:rPr>
        <w:t>Shui</w:t>
      </w:r>
      <w:r>
        <w:rPr>
          <w:color w:val="231F20"/>
          <w:spacing w:val="40"/>
        </w:rPr>
        <w:t> </w:t>
      </w:r>
      <w:r>
        <w:rPr>
          <w:color w:val="231F20"/>
        </w:rPr>
        <w:t>Fa</w:t>
      </w:r>
      <w:r>
        <w:rPr>
          <w:color w:val="231F20"/>
          <w:spacing w:val="40"/>
        </w:rPr>
        <w:t> </w:t>
      </w:r>
      <w:r>
        <w:rPr>
          <w:color w:val="231F20"/>
        </w:rPr>
        <w:t>[1993</w:t>
      </w:r>
      <w:r>
        <w:rPr>
          <w:color w:val="231F20"/>
          <w:spacing w:val="20"/>
        </w:rPr>
        <w:t>] </w:t>
      </w:r>
      <w:r>
        <w:rPr>
          <w:color w:val="231F20"/>
        </w:rPr>
        <w:t>No</w:t>
      </w:r>
      <w:r>
        <w:rPr>
          <w:color w:val="231F20"/>
          <w:spacing w:val="20"/>
        </w:rPr>
        <w:t>. </w:t>
      </w:r>
      <w:r>
        <w:rPr>
          <w:color w:val="231F20"/>
        </w:rPr>
        <w:t>045</w:t>
      </w:r>
      <w:r>
        <w:rPr>
          <w:color w:val="231F20"/>
          <w:spacing w:val="40"/>
        </w:rPr>
        <w:t> </w:t>
      </w:r>
      <w:r>
        <w:rPr>
          <w:color w:val="231F20"/>
        </w:rPr>
        <w:t>(Guo Shui</w:t>
      </w:r>
      <w:r>
        <w:rPr>
          <w:color w:val="231F20"/>
          <w:spacing w:val="80"/>
        </w:rPr>
        <w:t> </w:t>
      </w:r>
      <w:r>
        <w:rPr>
          <w:color w:val="231F20"/>
        </w:rPr>
        <w:t>Han</w:t>
      </w:r>
      <w:r>
        <w:rPr>
          <w:color w:val="231F20"/>
          <w:spacing w:val="80"/>
        </w:rPr>
        <w:t> </w:t>
      </w:r>
      <w:r>
        <w:rPr>
          <w:color w:val="231F20"/>
        </w:rPr>
        <w:t>[2011</w:t>
      </w:r>
      <w:r>
        <w:rPr>
          <w:color w:val="231F20"/>
          <w:spacing w:val="40"/>
        </w:rPr>
        <w:t>] </w:t>
      </w:r>
      <w:r>
        <w:rPr>
          <w:color w:val="231F20"/>
        </w:rPr>
        <w:t>No</w:t>
      </w:r>
      <w:r>
        <w:rPr>
          <w:color w:val="231F20"/>
          <w:spacing w:val="40"/>
        </w:rPr>
        <w:t>. </w:t>
      </w:r>
      <w:r>
        <w:rPr>
          <w:color w:val="231F20"/>
        </w:rPr>
        <w:t>348</w:t>
      </w:r>
      <w:r>
        <w:rPr>
          <w:color w:val="231F20"/>
          <w:spacing w:val="26"/>
        </w:rPr>
        <w:t>) (</w:t>
      </w:r>
      <w:r>
        <w:rPr>
          <w:rFonts w:ascii="新細明體" w:hAnsi="新細明體" w:eastAsia="新細明體"/>
          <w:color w:val="231F20"/>
        </w:rPr>
        <w:t>《國家稅務總局關於國稅發</w:t>
      </w:r>
      <w:r>
        <w:rPr>
          <w:color w:val="231F20"/>
        </w:rPr>
        <w:t>[1993]045</w:t>
      </w:r>
      <w:r>
        <w:rPr>
          <w:rFonts w:ascii="新細明體" w:hAnsi="新細明體" w:eastAsia="新細明體"/>
          <w:color w:val="231F20"/>
        </w:rPr>
        <w:t>號文件廢止後有關個人所得稅徵管問題的通知》</w:t>
      </w:r>
      <w:r>
        <w:rPr>
          <w:color w:val="231F20"/>
        </w:rPr>
        <w:t>(</w:t>
      </w:r>
      <w:r>
        <w:rPr>
          <w:rFonts w:ascii="新細明體" w:hAnsi="新細明體" w:eastAsia="新細明體"/>
          <w:color w:val="231F20"/>
        </w:rPr>
        <w:t>國稅函</w:t>
      </w:r>
      <w:r>
        <w:rPr>
          <w:color w:val="231F20"/>
        </w:rPr>
        <w:t>[2011]348</w:t>
      </w:r>
      <w:r>
        <w:rPr>
          <w:rFonts w:ascii="新細明體" w:hAnsi="新細明體" w:eastAsia="新細明體"/>
          <w:color w:val="231F20"/>
        </w:rPr>
        <w:t>號</w:t>
      </w:r>
      <w:r>
        <w:rPr>
          <w:color w:val="231F20"/>
        </w:rPr>
        <w:t>)), dividend and bonus income received by overseas resident individual shareholders from the issuance of shares in Hong Kong by domestic non-foreign invested enterprises shall be subject to the payment of individual income tax according to the item of “interest, dividend and bonus income”, which shall be withheld by the withholding agents according to the </w:t>
      </w:r>
      <w:r>
        <w:rPr>
          <w:color w:val="231F20"/>
        </w:rPr>
        <w:t>law.</w:t>
      </w:r>
      <w:r>
        <w:rPr>
          <w:color w:val="231F20"/>
          <w:spacing w:val="80"/>
        </w:rPr>
        <w:t> </w:t>
      </w:r>
      <w:r>
        <w:rPr>
          <w:color w:val="231F20"/>
        </w:rPr>
        <w:t>The overseas resident individual shareholders who hold the shares issued by domestic non-foreign invested</w:t>
      </w:r>
      <w:r>
        <w:rPr>
          <w:color w:val="231F20"/>
          <w:spacing w:val="39"/>
        </w:rPr>
        <w:t> </w:t>
      </w:r>
      <w:r>
        <w:rPr>
          <w:color w:val="231F20"/>
        </w:rPr>
        <w:t>enterprises</w:t>
      </w:r>
      <w:r>
        <w:rPr>
          <w:color w:val="231F20"/>
          <w:spacing w:val="39"/>
        </w:rPr>
        <w:t> </w:t>
      </w:r>
      <w:r>
        <w:rPr>
          <w:color w:val="231F20"/>
        </w:rPr>
        <w:t>in</w:t>
      </w:r>
      <w:r>
        <w:rPr>
          <w:color w:val="231F20"/>
          <w:spacing w:val="39"/>
        </w:rPr>
        <w:t> </w:t>
      </w:r>
      <w:r>
        <w:rPr>
          <w:color w:val="231F20"/>
        </w:rPr>
        <w:t>Hong</w:t>
      </w:r>
      <w:r>
        <w:rPr>
          <w:color w:val="231F20"/>
          <w:spacing w:val="39"/>
        </w:rPr>
        <w:t> </w:t>
      </w:r>
      <w:r>
        <w:rPr>
          <w:color w:val="231F20"/>
        </w:rPr>
        <w:t>Kong</w:t>
      </w:r>
      <w:r>
        <w:rPr>
          <w:color w:val="231F20"/>
          <w:spacing w:val="39"/>
        </w:rPr>
        <w:t> </w:t>
      </w:r>
      <w:r>
        <w:rPr>
          <w:color w:val="231F20"/>
        </w:rPr>
        <w:t>are</w:t>
      </w:r>
      <w:r>
        <w:rPr>
          <w:color w:val="231F20"/>
          <w:spacing w:val="39"/>
        </w:rPr>
        <w:t> </w:t>
      </w:r>
      <w:r>
        <w:rPr>
          <w:color w:val="231F20"/>
        </w:rPr>
        <w:t>entitled</w:t>
      </w:r>
      <w:r>
        <w:rPr>
          <w:color w:val="231F20"/>
          <w:spacing w:val="39"/>
        </w:rPr>
        <w:t> </w:t>
      </w:r>
      <w:r>
        <w:rPr>
          <w:color w:val="231F20"/>
        </w:rPr>
        <w:t>to</w:t>
      </w:r>
      <w:r>
        <w:rPr>
          <w:color w:val="231F20"/>
          <w:spacing w:val="39"/>
        </w:rPr>
        <w:t> </w:t>
      </w:r>
      <w:r>
        <w:rPr>
          <w:color w:val="231F20"/>
        </w:rPr>
        <w:t>the</w:t>
      </w:r>
      <w:r>
        <w:rPr>
          <w:color w:val="231F20"/>
          <w:spacing w:val="39"/>
        </w:rPr>
        <w:t> </w:t>
      </w:r>
      <w:r>
        <w:rPr>
          <w:color w:val="231F20"/>
        </w:rPr>
        <w:t>relevant</w:t>
      </w:r>
      <w:r>
        <w:rPr>
          <w:color w:val="231F20"/>
          <w:spacing w:val="39"/>
        </w:rPr>
        <w:t> </w:t>
      </w:r>
      <w:r>
        <w:rPr>
          <w:color w:val="231F20"/>
        </w:rPr>
        <w:t>preferential</w:t>
      </w:r>
      <w:r>
        <w:rPr>
          <w:color w:val="231F20"/>
          <w:spacing w:val="39"/>
        </w:rPr>
        <w:t> </w:t>
      </w:r>
      <w:r>
        <w:rPr>
          <w:color w:val="231F20"/>
        </w:rPr>
        <w:t>tax</w:t>
      </w:r>
      <w:r>
        <w:rPr>
          <w:color w:val="231F20"/>
          <w:spacing w:val="39"/>
        </w:rPr>
        <w:t> </w:t>
      </w:r>
      <w:r>
        <w:rPr>
          <w:color w:val="231F20"/>
        </w:rPr>
        <w:t>treatment</w:t>
      </w:r>
      <w:r>
        <w:rPr>
          <w:color w:val="231F20"/>
          <w:spacing w:val="39"/>
        </w:rPr>
        <w:t> </w:t>
      </w:r>
      <w:r>
        <w:rPr>
          <w:color w:val="231F20"/>
        </w:rPr>
        <w:t>pursuant</w:t>
      </w:r>
      <w:r>
        <w:rPr>
          <w:color w:val="231F20"/>
          <w:spacing w:val="39"/>
        </w:rPr>
        <w:t> </w:t>
      </w:r>
      <w:r>
        <w:rPr>
          <w:color w:val="231F20"/>
        </w:rPr>
        <w:t>to the</w:t>
      </w:r>
      <w:r>
        <w:rPr>
          <w:color w:val="231F20"/>
          <w:spacing w:val="24"/>
        </w:rPr>
        <w:t> </w:t>
      </w:r>
      <w:r>
        <w:rPr>
          <w:color w:val="231F20"/>
        </w:rPr>
        <w:t>provisions</w:t>
      </w:r>
      <w:r>
        <w:rPr>
          <w:color w:val="231F20"/>
          <w:spacing w:val="24"/>
        </w:rPr>
        <w:t> </w:t>
      </w:r>
      <w:r>
        <w:rPr>
          <w:color w:val="231F20"/>
        </w:rPr>
        <w:t>in</w:t>
      </w:r>
      <w:r>
        <w:rPr>
          <w:color w:val="231F20"/>
          <w:spacing w:val="24"/>
        </w:rPr>
        <w:t> </w:t>
      </w:r>
      <w:r>
        <w:rPr>
          <w:color w:val="231F20"/>
        </w:rPr>
        <w:t>the</w:t>
      </w:r>
      <w:r>
        <w:rPr>
          <w:color w:val="231F20"/>
          <w:spacing w:val="24"/>
        </w:rPr>
        <w:t> </w:t>
      </w:r>
      <w:r>
        <w:rPr>
          <w:color w:val="231F20"/>
        </w:rPr>
        <w:t>tax</w:t>
      </w:r>
      <w:r>
        <w:rPr>
          <w:color w:val="231F20"/>
          <w:spacing w:val="24"/>
        </w:rPr>
        <w:t> </w:t>
      </w:r>
      <w:r>
        <w:rPr>
          <w:color w:val="231F20"/>
        </w:rPr>
        <w:t>treaties</w:t>
      </w:r>
      <w:r>
        <w:rPr>
          <w:color w:val="231F20"/>
          <w:spacing w:val="24"/>
        </w:rPr>
        <w:t> </w:t>
      </w:r>
      <w:r>
        <w:rPr>
          <w:color w:val="231F20"/>
        </w:rPr>
        <w:t>signed</w:t>
      </w:r>
      <w:r>
        <w:rPr>
          <w:color w:val="231F20"/>
          <w:spacing w:val="24"/>
        </w:rPr>
        <w:t> </w:t>
      </w:r>
      <w:r>
        <w:rPr>
          <w:color w:val="231F20"/>
        </w:rPr>
        <w:t>between</w:t>
      </w:r>
      <w:r>
        <w:rPr>
          <w:color w:val="231F20"/>
          <w:spacing w:val="24"/>
        </w:rPr>
        <w:t> </w:t>
      </w:r>
      <w:r>
        <w:rPr>
          <w:color w:val="231F20"/>
        </w:rPr>
        <w:t>the</w:t>
      </w:r>
      <w:r>
        <w:rPr>
          <w:color w:val="231F20"/>
          <w:spacing w:val="24"/>
        </w:rPr>
        <w:t> </w:t>
      </w:r>
      <w:r>
        <w:rPr>
          <w:color w:val="231F20"/>
        </w:rPr>
        <w:t>countries</w:t>
      </w:r>
      <w:r>
        <w:rPr>
          <w:color w:val="231F20"/>
          <w:spacing w:val="24"/>
        </w:rPr>
        <w:t> </w:t>
      </w:r>
      <w:r>
        <w:rPr>
          <w:color w:val="231F20"/>
        </w:rPr>
        <w:t>where</w:t>
      </w:r>
      <w:r>
        <w:rPr>
          <w:color w:val="231F20"/>
          <w:spacing w:val="24"/>
        </w:rPr>
        <w:t> </w:t>
      </w:r>
      <w:r>
        <w:rPr>
          <w:color w:val="231F20"/>
        </w:rPr>
        <w:t>they</w:t>
      </w:r>
      <w:r>
        <w:rPr>
          <w:color w:val="231F20"/>
          <w:spacing w:val="24"/>
        </w:rPr>
        <w:t> </w:t>
      </w:r>
      <w:r>
        <w:rPr>
          <w:color w:val="231F20"/>
        </w:rPr>
        <w:t>reside</w:t>
      </w:r>
      <w:r>
        <w:rPr>
          <w:color w:val="231F20"/>
          <w:spacing w:val="24"/>
        </w:rPr>
        <w:t> </w:t>
      </w:r>
      <w:r>
        <w:rPr>
          <w:color w:val="231F20"/>
        </w:rPr>
        <w:t>and</w:t>
      </w:r>
      <w:r>
        <w:rPr>
          <w:color w:val="231F20"/>
          <w:spacing w:val="24"/>
        </w:rPr>
        <w:t> </w:t>
      </w:r>
      <w:r>
        <w:rPr>
          <w:color w:val="231F20"/>
        </w:rPr>
        <w:t>the</w:t>
      </w:r>
      <w:r>
        <w:rPr>
          <w:color w:val="231F20"/>
          <w:spacing w:val="24"/>
        </w:rPr>
        <w:t> </w:t>
      </w:r>
      <w:r>
        <w:rPr>
          <w:color w:val="231F20"/>
        </w:rPr>
        <w:t>PRC</w:t>
      </w:r>
      <w:r>
        <w:rPr>
          <w:color w:val="231F20"/>
          <w:spacing w:val="24"/>
        </w:rPr>
        <w:t> </w:t>
      </w:r>
      <w:r>
        <w:rPr>
          <w:color w:val="231F20"/>
        </w:rPr>
        <w:t>and</w:t>
      </w:r>
      <w:r>
        <w:rPr>
          <w:color w:val="231F20"/>
          <w:spacing w:val="24"/>
        </w:rPr>
        <w:t> </w:t>
      </w:r>
      <w:r>
        <w:rPr>
          <w:color w:val="231F20"/>
        </w:rPr>
        <w:t>the tax</w:t>
      </w:r>
      <w:r>
        <w:rPr>
          <w:color w:val="231F20"/>
          <w:spacing w:val="32"/>
        </w:rPr>
        <w:t> </w:t>
      </w:r>
      <w:r>
        <w:rPr>
          <w:color w:val="231F20"/>
        </w:rPr>
        <w:t>arrangements</w:t>
      </w:r>
      <w:r>
        <w:rPr>
          <w:color w:val="231F20"/>
          <w:spacing w:val="32"/>
        </w:rPr>
        <w:t> </w:t>
      </w:r>
      <w:r>
        <w:rPr>
          <w:color w:val="231F20"/>
        </w:rPr>
        <w:t>between</w:t>
      </w:r>
      <w:r>
        <w:rPr>
          <w:color w:val="231F20"/>
          <w:spacing w:val="30"/>
        </w:rPr>
        <w:t> </w:t>
      </w:r>
      <w:r>
        <w:rPr>
          <w:color w:val="231F20"/>
        </w:rPr>
        <w:t>the</w:t>
      </w:r>
      <w:r>
        <w:rPr>
          <w:color w:val="231F20"/>
          <w:spacing w:val="32"/>
        </w:rPr>
        <w:t> </w:t>
      </w:r>
      <w:r>
        <w:rPr>
          <w:color w:val="231F20"/>
        </w:rPr>
        <w:t>Mainland</w:t>
      </w:r>
      <w:r>
        <w:rPr>
          <w:color w:val="231F20"/>
          <w:spacing w:val="30"/>
        </w:rPr>
        <w:t> </w:t>
      </w:r>
      <w:r>
        <w:rPr>
          <w:color w:val="231F20"/>
        </w:rPr>
        <w:t>China</w:t>
      </w:r>
      <w:r>
        <w:rPr>
          <w:color w:val="231F20"/>
          <w:spacing w:val="30"/>
        </w:rPr>
        <w:t> </w:t>
      </w:r>
      <w:r>
        <w:rPr>
          <w:color w:val="231F20"/>
        </w:rPr>
        <w:t>and</w:t>
      </w:r>
      <w:r>
        <w:rPr>
          <w:color w:val="231F20"/>
          <w:spacing w:val="30"/>
        </w:rPr>
        <w:t> </w:t>
      </w:r>
      <w:r>
        <w:rPr>
          <w:color w:val="231F20"/>
        </w:rPr>
        <w:t>Hong</w:t>
      </w:r>
      <w:r>
        <w:rPr>
          <w:color w:val="231F20"/>
          <w:spacing w:val="30"/>
        </w:rPr>
        <w:t> </w:t>
      </w:r>
      <w:r>
        <w:rPr>
          <w:color w:val="231F20"/>
        </w:rPr>
        <w:t>Kong</w:t>
      </w:r>
      <w:r>
        <w:rPr>
          <w:color w:val="231F20"/>
          <w:spacing w:val="32"/>
        </w:rPr>
        <w:t> </w:t>
      </w:r>
      <w:r>
        <w:rPr>
          <w:color w:val="231F20"/>
        </w:rPr>
        <w:t>(Macau</w:t>
      </w:r>
      <w:r>
        <w:rPr>
          <w:color w:val="231F20"/>
          <w:spacing w:val="32"/>
        </w:rPr>
        <w:t> </w:t>
      </w:r>
      <w:r>
        <w:rPr>
          <w:color w:val="231F20"/>
        </w:rPr>
        <w:t>SAR)</w:t>
      </w:r>
      <w:r>
        <w:rPr>
          <w:color w:val="231F20"/>
          <w:spacing w:val="15"/>
        </w:rPr>
        <w:t>. </w:t>
      </w:r>
      <w:r>
        <w:rPr>
          <w:color w:val="231F20"/>
        </w:rPr>
        <w:t>The</w:t>
      </w:r>
      <w:r>
        <w:rPr>
          <w:color w:val="231F20"/>
          <w:spacing w:val="32"/>
        </w:rPr>
        <w:t> </w:t>
      </w:r>
      <w:r>
        <w:rPr>
          <w:color w:val="231F20"/>
        </w:rPr>
        <w:t>relevant</w:t>
      </w:r>
      <w:r>
        <w:rPr>
          <w:color w:val="231F20"/>
          <w:spacing w:val="30"/>
        </w:rPr>
        <w:t> </w:t>
      </w:r>
      <w:r>
        <w:rPr>
          <w:color w:val="231F20"/>
        </w:rPr>
        <w:t>dividend tax rate under the relevant tax treaties and tax arrangements is generally 10%. For the purpose of simplifying tax administration, domestic non-foreign invested enterprises issuing shares in Hong Kong may, when distributing dividends and bonuses, generally withhold individual income tax at the rate of 10%, and are not obligated to file an application. If the tax rate for dividends is not equal to 10%, the following provisions shall apply: (1) for residents from countries under treaties to be entitled to tax rates lower than 10%, in accordance with the Administrative Measures for Non-resident Taxpayers to Enjoy Treatments</w:t>
      </w:r>
      <w:r>
        <w:rPr>
          <w:color w:val="231F20"/>
          <w:spacing w:val="19"/>
        </w:rPr>
        <w:t> </w:t>
      </w:r>
      <w:r>
        <w:rPr>
          <w:color w:val="231F20"/>
        </w:rPr>
        <w:t>under</w:t>
      </w:r>
      <w:r>
        <w:rPr>
          <w:color w:val="231F20"/>
          <w:spacing w:val="19"/>
        </w:rPr>
        <w:t> </w:t>
      </w:r>
      <w:r>
        <w:rPr>
          <w:color w:val="231F20"/>
        </w:rPr>
        <w:t>Tax</w:t>
      </w:r>
      <w:r>
        <w:rPr>
          <w:color w:val="231F20"/>
          <w:spacing w:val="19"/>
        </w:rPr>
        <w:t> </w:t>
      </w:r>
      <w:r>
        <w:rPr>
          <w:color w:val="231F20"/>
        </w:rPr>
        <w:t>Treaties</w:t>
      </w:r>
      <w:r>
        <w:rPr>
          <w:color w:val="231F20"/>
          <w:spacing w:val="19"/>
        </w:rPr>
        <w:t> </w:t>
      </w:r>
      <w:r>
        <w:rPr>
          <w:color w:val="231F20"/>
        </w:rPr>
        <w:t>(Announcement</w:t>
      </w:r>
      <w:r>
        <w:rPr>
          <w:color w:val="231F20"/>
          <w:spacing w:val="19"/>
        </w:rPr>
        <w:t> </w:t>
      </w:r>
      <w:r>
        <w:rPr>
          <w:color w:val="231F20"/>
        </w:rPr>
        <w:t>of</w:t>
      </w:r>
      <w:r>
        <w:rPr>
          <w:color w:val="231F20"/>
          <w:spacing w:val="19"/>
        </w:rPr>
        <w:t> </w:t>
      </w:r>
      <w:r>
        <w:rPr>
          <w:color w:val="231F20"/>
        </w:rPr>
        <w:t>the</w:t>
      </w:r>
      <w:r>
        <w:rPr>
          <w:color w:val="231F20"/>
          <w:spacing w:val="19"/>
        </w:rPr>
        <w:t> </w:t>
      </w:r>
      <w:r>
        <w:rPr>
          <w:color w:val="231F20"/>
        </w:rPr>
        <w:t>State</w:t>
      </w:r>
      <w:r>
        <w:rPr>
          <w:color w:val="231F20"/>
          <w:spacing w:val="19"/>
        </w:rPr>
        <w:t> </w:t>
      </w:r>
      <w:r>
        <w:rPr>
          <w:color w:val="231F20"/>
        </w:rPr>
        <w:t>Administration</w:t>
      </w:r>
      <w:r>
        <w:rPr>
          <w:color w:val="231F20"/>
          <w:spacing w:val="19"/>
        </w:rPr>
        <w:t> </w:t>
      </w:r>
      <w:r>
        <w:rPr>
          <w:color w:val="231F20"/>
        </w:rPr>
        <w:t>of</w:t>
      </w:r>
      <w:r>
        <w:rPr>
          <w:color w:val="231F20"/>
          <w:spacing w:val="19"/>
        </w:rPr>
        <w:t> </w:t>
      </w:r>
      <w:r>
        <w:rPr>
          <w:color w:val="231F20"/>
        </w:rPr>
        <w:t>Taxation</w:t>
      </w:r>
      <w:r>
        <w:rPr>
          <w:color w:val="231F20"/>
          <w:spacing w:val="19"/>
        </w:rPr>
        <w:t> </w:t>
      </w:r>
      <w:r>
        <w:rPr>
          <w:color w:val="231F20"/>
        </w:rPr>
        <w:t>[2019</w:t>
      </w:r>
      <w:r>
        <w:rPr>
          <w:color w:val="231F20"/>
          <w:spacing w:val="9"/>
        </w:rPr>
        <w:t>] </w:t>
      </w:r>
      <w:r>
        <w:rPr>
          <w:color w:val="231F20"/>
        </w:rPr>
        <w:t>No</w:t>
      </w:r>
      <w:r>
        <w:rPr>
          <w:color w:val="231F20"/>
          <w:spacing w:val="9"/>
        </w:rPr>
        <w:t>. </w:t>
      </w:r>
      <w:r>
        <w:rPr>
          <w:color w:val="231F20"/>
          <w:spacing w:val="-5"/>
        </w:rPr>
        <w:t>35)</w:t>
      </w:r>
    </w:p>
    <w:p>
      <w:pPr>
        <w:pStyle w:val="BodyText"/>
        <w:spacing w:after="0" w:line="280" w:lineRule="exact"/>
        <w:jc w:val="both"/>
        <w:sectPr>
          <w:pgSz w:w="11910" w:h="15880"/>
          <w:pgMar w:header="567" w:footer="573" w:top="1300" w:bottom="760" w:left="1275" w:right="1275"/>
        </w:sectPr>
      </w:pPr>
    </w:p>
    <w:p>
      <w:pPr>
        <w:pStyle w:val="BodyText"/>
        <w:spacing w:before="107"/>
      </w:pPr>
    </w:p>
    <w:p>
      <w:pPr>
        <w:pStyle w:val="BodyText"/>
        <w:spacing w:line="280" w:lineRule="exact"/>
        <w:ind w:left="709" w:right="128"/>
        <w:jc w:val="both"/>
      </w:pPr>
      <w:r>
        <w:rPr>
          <w:color w:val="231F20"/>
        </w:rPr>
        <w:t>(</w:t>
      </w:r>
      <w:r>
        <w:rPr>
          <w:rFonts w:ascii="新細明體" w:eastAsia="新細明體"/>
          <w:color w:val="231F20"/>
        </w:rPr>
        <w:t>《非居民納稅人享受協定待遇管理辦法》</w:t>
      </w:r>
      <w:r>
        <w:rPr>
          <w:color w:val="231F20"/>
        </w:rPr>
        <w:t>(</w:t>
      </w:r>
      <w:r>
        <w:rPr>
          <w:rFonts w:ascii="新細明體" w:eastAsia="新細明體"/>
          <w:color w:val="231F20"/>
        </w:rPr>
        <w:t>國家稅務總局公告</w:t>
      </w:r>
      <w:r>
        <w:rPr>
          <w:color w:val="231F20"/>
        </w:rPr>
        <w:t>2019</w:t>
      </w:r>
      <w:r>
        <w:rPr>
          <w:rFonts w:ascii="新細明體" w:eastAsia="新細明體"/>
          <w:color w:val="231F20"/>
        </w:rPr>
        <w:t>年第 </w:t>
      </w:r>
      <w:r>
        <w:rPr>
          <w:color w:val="231F20"/>
        </w:rPr>
        <w:t>35</w:t>
      </w:r>
      <w:r>
        <w:rPr>
          <w:rFonts w:ascii="新細明體" w:eastAsia="新細明體"/>
          <w:color w:val="231F20"/>
        </w:rPr>
        <w:t>號</w:t>
      </w:r>
      <w:r>
        <w:rPr>
          <w:color w:val="231F20"/>
        </w:rPr>
        <w:t>)), if the individual </w:t>
      </w:r>
      <w:r>
        <w:rPr>
          <w:color w:val="231F20"/>
        </w:rPr>
        <w:t>H shareholders</w:t>
      </w:r>
      <w:r>
        <w:rPr>
          <w:color w:val="231F20"/>
          <w:spacing w:val="17"/>
        </w:rPr>
        <w:t> </w:t>
      </w:r>
      <w:r>
        <w:rPr>
          <w:color w:val="231F20"/>
        </w:rPr>
        <w:t>are</w:t>
      </w:r>
      <w:r>
        <w:rPr>
          <w:color w:val="231F20"/>
          <w:spacing w:val="17"/>
        </w:rPr>
        <w:t> </w:t>
      </w:r>
      <w:r>
        <w:rPr>
          <w:color w:val="231F20"/>
        </w:rPr>
        <w:t>residents</w:t>
      </w:r>
      <w:r>
        <w:rPr>
          <w:color w:val="231F20"/>
          <w:spacing w:val="17"/>
        </w:rPr>
        <w:t> </w:t>
      </w:r>
      <w:r>
        <w:rPr>
          <w:color w:val="231F20"/>
        </w:rPr>
        <w:t>from</w:t>
      </w:r>
      <w:r>
        <w:rPr>
          <w:color w:val="231F20"/>
          <w:spacing w:val="17"/>
        </w:rPr>
        <w:t> </w:t>
      </w:r>
      <w:r>
        <w:rPr>
          <w:color w:val="231F20"/>
        </w:rPr>
        <w:t>countries</w:t>
      </w:r>
      <w:r>
        <w:rPr>
          <w:color w:val="231F20"/>
          <w:spacing w:val="17"/>
        </w:rPr>
        <w:t> </w:t>
      </w:r>
      <w:r>
        <w:rPr>
          <w:color w:val="231F20"/>
        </w:rPr>
        <w:t>which</w:t>
      </w:r>
      <w:r>
        <w:rPr>
          <w:color w:val="231F20"/>
          <w:spacing w:val="17"/>
        </w:rPr>
        <w:t> </w:t>
      </w:r>
      <w:r>
        <w:rPr>
          <w:color w:val="231F20"/>
        </w:rPr>
        <w:t>have</w:t>
      </w:r>
      <w:r>
        <w:rPr>
          <w:color w:val="231F20"/>
          <w:spacing w:val="17"/>
        </w:rPr>
        <w:t> </w:t>
      </w:r>
      <w:r>
        <w:rPr>
          <w:color w:val="231F20"/>
        </w:rPr>
        <w:t>entered</w:t>
      </w:r>
      <w:r>
        <w:rPr>
          <w:color w:val="231F20"/>
          <w:spacing w:val="17"/>
        </w:rPr>
        <w:t> </w:t>
      </w:r>
      <w:r>
        <w:rPr>
          <w:color w:val="231F20"/>
        </w:rPr>
        <w:t>into</w:t>
      </w:r>
      <w:r>
        <w:rPr>
          <w:color w:val="231F20"/>
          <w:spacing w:val="17"/>
        </w:rPr>
        <w:t> </w:t>
      </w:r>
      <w:r>
        <w:rPr>
          <w:color w:val="231F20"/>
        </w:rPr>
        <w:t>a</w:t>
      </w:r>
      <w:r>
        <w:rPr>
          <w:color w:val="231F20"/>
          <w:spacing w:val="17"/>
        </w:rPr>
        <w:t> </w:t>
      </w:r>
      <w:r>
        <w:rPr>
          <w:color w:val="231F20"/>
        </w:rPr>
        <w:t>tax</w:t>
      </w:r>
      <w:r>
        <w:rPr>
          <w:color w:val="231F20"/>
          <w:spacing w:val="17"/>
        </w:rPr>
        <w:t> </w:t>
      </w:r>
      <w:r>
        <w:rPr>
          <w:color w:val="231F20"/>
        </w:rPr>
        <w:t>treaty</w:t>
      </w:r>
      <w:r>
        <w:rPr>
          <w:color w:val="231F20"/>
          <w:spacing w:val="17"/>
        </w:rPr>
        <w:t> </w:t>
      </w:r>
      <w:r>
        <w:rPr>
          <w:color w:val="231F20"/>
        </w:rPr>
        <w:t>with</w:t>
      </w:r>
      <w:r>
        <w:rPr>
          <w:color w:val="231F20"/>
          <w:spacing w:val="17"/>
        </w:rPr>
        <w:t> </w:t>
      </w:r>
      <w:r>
        <w:rPr>
          <w:color w:val="231F20"/>
        </w:rPr>
        <w:t>the</w:t>
      </w:r>
      <w:r>
        <w:rPr>
          <w:color w:val="231F20"/>
          <w:spacing w:val="17"/>
        </w:rPr>
        <w:t> </w:t>
      </w:r>
      <w:r>
        <w:rPr>
          <w:color w:val="231F20"/>
        </w:rPr>
        <w:t>PRC</w:t>
      </w:r>
      <w:r>
        <w:rPr>
          <w:color w:val="231F20"/>
          <w:spacing w:val="17"/>
        </w:rPr>
        <w:t> </w:t>
      </w:r>
      <w:r>
        <w:rPr>
          <w:color w:val="231F20"/>
        </w:rPr>
        <w:t>stipulating a</w:t>
      </w:r>
      <w:r>
        <w:rPr>
          <w:color w:val="231F20"/>
          <w:spacing w:val="18"/>
        </w:rPr>
        <w:t> </w:t>
      </w:r>
      <w:r>
        <w:rPr>
          <w:color w:val="231F20"/>
        </w:rPr>
        <w:t>dividend</w:t>
      </w:r>
      <w:r>
        <w:rPr>
          <w:color w:val="231F20"/>
          <w:spacing w:val="18"/>
        </w:rPr>
        <w:t> </w:t>
      </w:r>
      <w:r>
        <w:rPr>
          <w:color w:val="231F20"/>
        </w:rPr>
        <w:t>tax</w:t>
      </w:r>
      <w:r>
        <w:rPr>
          <w:color w:val="231F20"/>
          <w:spacing w:val="18"/>
        </w:rPr>
        <w:t> </w:t>
      </w:r>
      <w:r>
        <w:rPr>
          <w:color w:val="231F20"/>
        </w:rPr>
        <w:t>rate</w:t>
      </w:r>
      <w:r>
        <w:rPr>
          <w:color w:val="231F20"/>
          <w:spacing w:val="18"/>
        </w:rPr>
        <w:t> </w:t>
      </w:r>
      <w:r>
        <w:rPr>
          <w:color w:val="231F20"/>
        </w:rPr>
        <w:t>lower</w:t>
      </w:r>
      <w:r>
        <w:rPr>
          <w:color w:val="231F20"/>
          <w:spacing w:val="18"/>
        </w:rPr>
        <w:t> </w:t>
      </w:r>
      <w:r>
        <w:rPr>
          <w:color w:val="231F20"/>
        </w:rPr>
        <w:t>than</w:t>
      </w:r>
      <w:r>
        <w:rPr>
          <w:color w:val="231F20"/>
          <w:spacing w:val="18"/>
        </w:rPr>
        <w:t> </w:t>
      </w:r>
      <w:r>
        <w:rPr>
          <w:color w:val="231F20"/>
        </w:rPr>
        <w:t>10%</w:t>
      </w:r>
      <w:r>
        <w:rPr>
          <w:color w:val="231F20"/>
          <w:spacing w:val="9"/>
        </w:rPr>
        <w:t>, </w:t>
      </w:r>
      <w:r>
        <w:rPr>
          <w:color w:val="231F20"/>
        </w:rPr>
        <w:t>such</w:t>
      </w:r>
      <w:r>
        <w:rPr>
          <w:color w:val="231F20"/>
          <w:spacing w:val="18"/>
        </w:rPr>
        <w:t> </w:t>
      </w:r>
      <w:r>
        <w:rPr>
          <w:color w:val="231F20"/>
        </w:rPr>
        <w:t>individual</w:t>
      </w:r>
      <w:r>
        <w:rPr>
          <w:color w:val="231F20"/>
          <w:spacing w:val="18"/>
        </w:rPr>
        <w:t> </w:t>
      </w:r>
      <w:r>
        <w:rPr>
          <w:color w:val="231F20"/>
        </w:rPr>
        <w:t>H</w:t>
      </w:r>
      <w:r>
        <w:rPr>
          <w:color w:val="231F20"/>
          <w:spacing w:val="18"/>
        </w:rPr>
        <w:t> </w:t>
      </w:r>
      <w:r>
        <w:rPr>
          <w:color w:val="231F20"/>
        </w:rPr>
        <w:t>shareholders</w:t>
      </w:r>
      <w:r>
        <w:rPr>
          <w:color w:val="231F20"/>
          <w:spacing w:val="18"/>
        </w:rPr>
        <w:t> </w:t>
      </w:r>
      <w:r>
        <w:rPr>
          <w:color w:val="231F20"/>
        </w:rPr>
        <w:t>shall</w:t>
      </w:r>
      <w:r>
        <w:rPr>
          <w:color w:val="231F20"/>
          <w:spacing w:val="18"/>
        </w:rPr>
        <w:t> </w:t>
      </w:r>
      <w:r>
        <w:rPr>
          <w:color w:val="231F20"/>
        </w:rPr>
        <w:t>voluntarily</w:t>
      </w:r>
      <w:r>
        <w:rPr>
          <w:color w:val="231F20"/>
          <w:spacing w:val="18"/>
        </w:rPr>
        <w:t> </w:t>
      </w:r>
      <w:r>
        <w:rPr>
          <w:color w:val="231F20"/>
        </w:rPr>
        <w:t>submit</w:t>
      </w:r>
      <w:r>
        <w:rPr>
          <w:color w:val="231F20"/>
          <w:spacing w:val="18"/>
        </w:rPr>
        <w:t> </w:t>
      </w:r>
      <w:r>
        <w:rPr>
          <w:color w:val="231F20"/>
        </w:rPr>
        <w:t>statements to</w:t>
      </w:r>
      <w:r>
        <w:rPr>
          <w:color w:val="231F20"/>
          <w:spacing w:val="37"/>
        </w:rPr>
        <w:t> </w:t>
      </w:r>
      <w:r>
        <w:rPr>
          <w:color w:val="231F20"/>
        </w:rPr>
        <w:t>the</w:t>
      </w:r>
      <w:r>
        <w:rPr>
          <w:color w:val="231F20"/>
          <w:spacing w:val="37"/>
        </w:rPr>
        <w:t> </w:t>
      </w:r>
      <w:r>
        <w:rPr>
          <w:color w:val="231F20"/>
        </w:rPr>
        <w:t>companies</w:t>
      </w:r>
      <w:r>
        <w:rPr>
          <w:color w:val="231F20"/>
          <w:spacing w:val="37"/>
        </w:rPr>
        <w:t> </w:t>
      </w:r>
      <w:r>
        <w:rPr>
          <w:color w:val="231F20"/>
        </w:rPr>
        <w:t>in</w:t>
      </w:r>
      <w:r>
        <w:rPr>
          <w:color w:val="231F20"/>
          <w:spacing w:val="37"/>
        </w:rPr>
        <w:t> </w:t>
      </w:r>
      <w:r>
        <w:rPr>
          <w:color w:val="231F20"/>
        </w:rPr>
        <w:t>order</w:t>
      </w:r>
      <w:r>
        <w:rPr>
          <w:color w:val="231F20"/>
          <w:spacing w:val="37"/>
        </w:rPr>
        <w:t> </w:t>
      </w:r>
      <w:r>
        <w:rPr>
          <w:color w:val="231F20"/>
        </w:rPr>
        <w:t>to</w:t>
      </w:r>
      <w:r>
        <w:rPr>
          <w:color w:val="231F20"/>
          <w:spacing w:val="37"/>
        </w:rPr>
        <w:t> </w:t>
      </w:r>
      <w:r>
        <w:rPr>
          <w:color w:val="231F20"/>
        </w:rPr>
        <w:t>enjoy</w:t>
      </w:r>
      <w:r>
        <w:rPr>
          <w:color w:val="231F20"/>
          <w:spacing w:val="37"/>
        </w:rPr>
        <w:t> </w:t>
      </w:r>
      <w:r>
        <w:rPr>
          <w:color w:val="231F20"/>
        </w:rPr>
        <w:t>the</w:t>
      </w:r>
      <w:r>
        <w:rPr>
          <w:color w:val="231F20"/>
          <w:spacing w:val="37"/>
        </w:rPr>
        <w:t> </w:t>
      </w:r>
      <w:r>
        <w:rPr>
          <w:color w:val="231F20"/>
        </w:rPr>
        <w:t>agreed</w:t>
      </w:r>
      <w:r>
        <w:rPr>
          <w:color w:val="231F20"/>
          <w:spacing w:val="37"/>
        </w:rPr>
        <w:t> </w:t>
      </w:r>
      <w:r>
        <w:rPr>
          <w:color w:val="231F20"/>
        </w:rPr>
        <w:t>treatment</w:t>
      </w:r>
      <w:r>
        <w:rPr>
          <w:color w:val="231F20"/>
          <w:spacing w:val="18"/>
        </w:rPr>
        <w:t>, </w:t>
      </w:r>
      <w:r>
        <w:rPr>
          <w:color w:val="231F20"/>
        </w:rPr>
        <w:t>and</w:t>
      </w:r>
      <w:r>
        <w:rPr>
          <w:color w:val="231F20"/>
          <w:spacing w:val="37"/>
        </w:rPr>
        <w:t> </w:t>
      </w:r>
      <w:r>
        <w:rPr>
          <w:color w:val="231F20"/>
        </w:rPr>
        <w:t>keep</w:t>
      </w:r>
      <w:r>
        <w:rPr>
          <w:color w:val="231F20"/>
          <w:spacing w:val="37"/>
        </w:rPr>
        <w:t> </w:t>
      </w:r>
      <w:r>
        <w:rPr>
          <w:color w:val="231F20"/>
        </w:rPr>
        <w:t>relevant</w:t>
      </w:r>
      <w:r>
        <w:rPr>
          <w:color w:val="231F20"/>
          <w:spacing w:val="37"/>
        </w:rPr>
        <w:t> </w:t>
      </w:r>
      <w:r>
        <w:rPr>
          <w:color w:val="231F20"/>
        </w:rPr>
        <w:t>materials</w:t>
      </w:r>
      <w:r>
        <w:rPr>
          <w:color w:val="231F20"/>
          <w:spacing w:val="37"/>
        </w:rPr>
        <w:t> </w:t>
      </w:r>
      <w:r>
        <w:rPr>
          <w:color w:val="231F20"/>
        </w:rPr>
        <w:t>for</w:t>
      </w:r>
      <w:r>
        <w:rPr>
          <w:color w:val="231F20"/>
          <w:spacing w:val="37"/>
        </w:rPr>
        <w:t> </w:t>
      </w:r>
      <w:r>
        <w:rPr>
          <w:color w:val="231F20"/>
        </w:rPr>
        <w:t>inspection. If the information provided is complete, the companies shall withhold the tax in accordance with the provisions of the PRC tax laws and treaties; (2) for residents of countries which have entered into tax treaties with the PRC stipulating a tax rate of more than 10% but less than 20%, the withholding agents shall</w:t>
      </w:r>
      <w:r>
        <w:rPr>
          <w:color w:val="231F20"/>
          <w:spacing w:val="36"/>
        </w:rPr>
        <w:t> </w:t>
      </w:r>
      <w:r>
        <w:rPr>
          <w:color w:val="231F20"/>
        </w:rPr>
        <w:t>withhold</w:t>
      </w:r>
      <w:r>
        <w:rPr>
          <w:color w:val="231F20"/>
          <w:spacing w:val="36"/>
        </w:rPr>
        <w:t> </w:t>
      </w:r>
      <w:r>
        <w:rPr>
          <w:color w:val="231F20"/>
        </w:rPr>
        <w:t>the</w:t>
      </w:r>
      <w:r>
        <w:rPr>
          <w:color w:val="231F20"/>
          <w:spacing w:val="36"/>
        </w:rPr>
        <w:t> </w:t>
      </w:r>
      <w:r>
        <w:rPr>
          <w:color w:val="231F20"/>
        </w:rPr>
        <w:t>individual</w:t>
      </w:r>
      <w:r>
        <w:rPr>
          <w:color w:val="231F20"/>
          <w:spacing w:val="36"/>
        </w:rPr>
        <w:t> </w:t>
      </w:r>
      <w:r>
        <w:rPr>
          <w:color w:val="231F20"/>
        </w:rPr>
        <w:t>income</w:t>
      </w:r>
      <w:r>
        <w:rPr>
          <w:color w:val="231F20"/>
          <w:spacing w:val="36"/>
        </w:rPr>
        <w:t> </w:t>
      </w:r>
      <w:r>
        <w:rPr>
          <w:color w:val="231F20"/>
        </w:rPr>
        <w:t>tax</w:t>
      </w:r>
      <w:r>
        <w:rPr>
          <w:color w:val="231F20"/>
          <w:spacing w:val="36"/>
        </w:rPr>
        <w:t> </w:t>
      </w:r>
      <w:r>
        <w:rPr>
          <w:color w:val="231F20"/>
        </w:rPr>
        <w:t>at</w:t>
      </w:r>
      <w:r>
        <w:rPr>
          <w:color w:val="231F20"/>
          <w:spacing w:val="36"/>
        </w:rPr>
        <w:t> </w:t>
      </w:r>
      <w:r>
        <w:rPr>
          <w:color w:val="231F20"/>
        </w:rPr>
        <w:t>the</w:t>
      </w:r>
      <w:r>
        <w:rPr>
          <w:color w:val="231F20"/>
          <w:spacing w:val="36"/>
        </w:rPr>
        <w:t> </w:t>
      </w:r>
      <w:r>
        <w:rPr>
          <w:color w:val="231F20"/>
        </w:rPr>
        <w:t>agreed</w:t>
      </w:r>
      <w:r>
        <w:rPr>
          <w:color w:val="231F20"/>
          <w:spacing w:val="36"/>
        </w:rPr>
        <w:t> </w:t>
      </w:r>
      <w:r>
        <w:rPr>
          <w:color w:val="231F20"/>
        </w:rPr>
        <w:t>effective</w:t>
      </w:r>
      <w:r>
        <w:rPr>
          <w:color w:val="231F20"/>
          <w:spacing w:val="36"/>
        </w:rPr>
        <w:t> </w:t>
      </w:r>
      <w:r>
        <w:rPr>
          <w:color w:val="231F20"/>
        </w:rPr>
        <w:t>tax</w:t>
      </w:r>
      <w:r>
        <w:rPr>
          <w:color w:val="231F20"/>
          <w:spacing w:val="36"/>
        </w:rPr>
        <w:t> </w:t>
      </w:r>
      <w:r>
        <w:rPr>
          <w:color w:val="231F20"/>
        </w:rPr>
        <w:t>rate</w:t>
      </w:r>
      <w:r>
        <w:rPr>
          <w:color w:val="231F20"/>
          <w:spacing w:val="36"/>
        </w:rPr>
        <w:t> </w:t>
      </w:r>
      <w:r>
        <w:rPr>
          <w:color w:val="231F20"/>
        </w:rPr>
        <w:t>when</w:t>
      </w:r>
      <w:r>
        <w:rPr>
          <w:color w:val="231F20"/>
          <w:spacing w:val="36"/>
        </w:rPr>
        <w:t> </w:t>
      </w:r>
      <w:r>
        <w:rPr>
          <w:color w:val="231F20"/>
        </w:rPr>
        <w:t>distributing</w:t>
      </w:r>
      <w:r>
        <w:rPr>
          <w:color w:val="231F20"/>
          <w:spacing w:val="36"/>
        </w:rPr>
        <w:t> </w:t>
      </w:r>
      <w:r>
        <w:rPr>
          <w:color w:val="231F20"/>
        </w:rPr>
        <w:t>dividends and bonuses, and are not obligated to file an application for approval; (3) for residents of countries</w:t>
      </w:r>
      <w:r>
        <w:rPr>
          <w:color w:val="231F20"/>
          <w:spacing w:val="40"/>
        </w:rPr>
        <w:t> </w:t>
      </w:r>
      <w:r>
        <w:rPr>
          <w:color w:val="231F20"/>
        </w:rPr>
        <w:t>without tax treaties or under other circumstances, the withholding agents shall withhold the individual income</w:t>
      </w:r>
      <w:r>
        <w:rPr>
          <w:color w:val="231F20"/>
          <w:spacing w:val="40"/>
        </w:rPr>
        <w:t> </w:t>
      </w:r>
      <w:r>
        <w:rPr>
          <w:color w:val="231F20"/>
        </w:rPr>
        <w:t>tax</w:t>
      </w:r>
      <w:r>
        <w:rPr>
          <w:color w:val="231F20"/>
          <w:spacing w:val="40"/>
        </w:rPr>
        <w:t> </w:t>
      </w:r>
      <w:r>
        <w:rPr>
          <w:color w:val="231F20"/>
        </w:rPr>
        <w:t>at</w:t>
      </w:r>
      <w:r>
        <w:rPr>
          <w:color w:val="231F20"/>
          <w:spacing w:val="40"/>
        </w:rPr>
        <w:t> </w:t>
      </w:r>
      <w:r>
        <w:rPr>
          <w:color w:val="231F20"/>
        </w:rPr>
        <w:t>a</w:t>
      </w:r>
      <w:r>
        <w:rPr>
          <w:color w:val="231F20"/>
          <w:spacing w:val="40"/>
        </w:rPr>
        <w:t> </w:t>
      </w:r>
      <w:r>
        <w:rPr>
          <w:color w:val="231F20"/>
        </w:rPr>
        <w:t>rate</w:t>
      </w:r>
      <w:r>
        <w:rPr>
          <w:color w:val="231F20"/>
          <w:spacing w:val="40"/>
        </w:rPr>
        <w:t> </w:t>
      </w:r>
      <w:r>
        <w:rPr>
          <w:color w:val="231F20"/>
        </w:rPr>
        <w:t>of</w:t>
      </w:r>
      <w:r>
        <w:rPr>
          <w:color w:val="231F20"/>
          <w:spacing w:val="40"/>
        </w:rPr>
        <w:t> </w:t>
      </w:r>
      <w:r>
        <w:rPr>
          <w:color w:val="231F20"/>
        </w:rPr>
        <w:t>20</w:t>
      </w:r>
      <w:r>
        <w:rPr>
          <w:color w:val="231F20"/>
          <w:spacing w:val="20"/>
        </w:rPr>
        <w:t>% </w:t>
      </w:r>
      <w:r>
        <w:rPr>
          <w:color w:val="231F20"/>
        </w:rPr>
        <w:t>when</w:t>
      </w:r>
      <w:r>
        <w:rPr>
          <w:color w:val="231F20"/>
          <w:spacing w:val="40"/>
        </w:rPr>
        <w:t> </w:t>
      </w:r>
      <w:r>
        <w:rPr>
          <w:color w:val="231F20"/>
        </w:rPr>
        <w:t>distributing</w:t>
      </w:r>
      <w:r>
        <w:rPr>
          <w:color w:val="231F20"/>
          <w:spacing w:val="40"/>
        </w:rPr>
        <w:t> </w:t>
      </w:r>
      <w:r>
        <w:rPr>
          <w:color w:val="231F20"/>
        </w:rPr>
        <w:t>dividends</w:t>
      </w:r>
      <w:r>
        <w:rPr>
          <w:color w:val="231F20"/>
          <w:spacing w:val="40"/>
        </w:rPr>
        <w:t> </w:t>
      </w:r>
      <w:r>
        <w:rPr>
          <w:color w:val="231F20"/>
        </w:rPr>
        <w:t>and</w:t>
      </w:r>
      <w:r>
        <w:rPr>
          <w:color w:val="231F20"/>
          <w:spacing w:val="40"/>
        </w:rPr>
        <w:t> </w:t>
      </w:r>
      <w:r>
        <w:rPr>
          <w:color w:val="231F20"/>
        </w:rPr>
        <w:t>bonuses.</w:t>
      </w:r>
    </w:p>
    <w:p>
      <w:pPr>
        <w:pStyle w:val="BodyText"/>
        <w:spacing w:before="50"/>
      </w:pPr>
    </w:p>
    <w:p>
      <w:pPr>
        <w:pStyle w:val="BodyText"/>
        <w:spacing w:line="280" w:lineRule="exact"/>
        <w:ind w:left="709" w:right="128" w:firstLine="567"/>
        <w:jc w:val="both"/>
      </w:pPr>
      <w:r>
        <w:rPr>
          <w:color w:val="231F20"/>
        </w:rPr>
        <w:t>Pursuant to the Arrangement between the Mainland of China and the Hong Kong Special Administrative</w:t>
      </w:r>
      <w:r>
        <w:rPr>
          <w:color w:val="231F20"/>
          <w:spacing w:val="40"/>
        </w:rPr>
        <w:t> </w:t>
      </w:r>
      <w:r>
        <w:rPr>
          <w:color w:val="231F20"/>
        </w:rPr>
        <w:t>Region</w:t>
      </w:r>
      <w:r>
        <w:rPr>
          <w:color w:val="231F20"/>
          <w:spacing w:val="40"/>
        </w:rPr>
        <w:t> </w:t>
      </w:r>
      <w:r>
        <w:rPr>
          <w:color w:val="231F20"/>
        </w:rPr>
        <w:t>for</w:t>
      </w:r>
      <w:r>
        <w:rPr>
          <w:color w:val="231F20"/>
          <w:spacing w:val="40"/>
        </w:rPr>
        <w:t> </w:t>
      </w:r>
      <w:r>
        <w:rPr>
          <w:color w:val="231F20"/>
        </w:rPr>
        <w:t>the</w:t>
      </w:r>
      <w:r>
        <w:rPr>
          <w:color w:val="231F20"/>
          <w:spacing w:val="40"/>
        </w:rPr>
        <w:t> </w:t>
      </w:r>
      <w:r>
        <w:rPr>
          <w:color w:val="231F20"/>
        </w:rPr>
        <w:t>Avoidance</w:t>
      </w:r>
      <w:r>
        <w:rPr>
          <w:color w:val="231F20"/>
          <w:spacing w:val="40"/>
        </w:rPr>
        <w:t> </w:t>
      </w:r>
      <w:r>
        <w:rPr>
          <w:color w:val="231F20"/>
        </w:rPr>
        <w:t>of</w:t>
      </w:r>
      <w:r>
        <w:rPr>
          <w:color w:val="231F20"/>
          <w:spacing w:val="40"/>
        </w:rPr>
        <w:t> </w:t>
      </w:r>
      <w:r>
        <w:rPr>
          <w:color w:val="231F20"/>
        </w:rPr>
        <w:t>Double</w:t>
      </w:r>
      <w:r>
        <w:rPr>
          <w:color w:val="231F20"/>
          <w:spacing w:val="40"/>
        </w:rPr>
        <w:t> </w:t>
      </w:r>
      <w:r>
        <w:rPr>
          <w:color w:val="231F20"/>
        </w:rPr>
        <w:t>Taxation</w:t>
      </w:r>
      <w:r>
        <w:rPr>
          <w:color w:val="231F20"/>
          <w:spacing w:val="40"/>
        </w:rPr>
        <w:t> </w:t>
      </w:r>
      <w:r>
        <w:rPr>
          <w:color w:val="231F20"/>
        </w:rPr>
        <w:t>and</w:t>
      </w:r>
      <w:r>
        <w:rPr>
          <w:color w:val="231F20"/>
          <w:spacing w:val="40"/>
        </w:rPr>
        <w:t> </w:t>
      </w:r>
      <w:r>
        <w:rPr>
          <w:color w:val="231F20"/>
        </w:rPr>
        <w:t>the</w:t>
      </w:r>
      <w:r>
        <w:rPr>
          <w:color w:val="231F20"/>
          <w:spacing w:val="40"/>
        </w:rPr>
        <w:t> </w:t>
      </w:r>
      <w:r>
        <w:rPr>
          <w:color w:val="231F20"/>
        </w:rPr>
        <w:t>Prevention</w:t>
      </w:r>
      <w:r>
        <w:rPr>
          <w:color w:val="231F20"/>
          <w:spacing w:val="40"/>
        </w:rPr>
        <w:t> </w:t>
      </w:r>
      <w:r>
        <w:rPr>
          <w:color w:val="231F20"/>
        </w:rPr>
        <w:t>of</w:t>
      </w:r>
      <w:r>
        <w:rPr>
          <w:color w:val="231F20"/>
          <w:spacing w:val="40"/>
        </w:rPr>
        <w:t> </w:t>
      </w:r>
      <w:r>
        <w:rPr>
          <w:color w:val="231F20"/>
        </w:rPr>
        <w:t>Fiscal</w:t>
      </w:r>
      <w:r>
        <w:rPr>
          <w:color w:val="231F20"/>
          <w:spacing w:val="40"/>
        </w:rPr>
        <w:t> </w:t>
      </w:r>
      <w:r>
        <w:rPr>
          <w:color w:val="231F20"/>
        </w:rPr>
        <w:t>Evasion with</w:t>
      </w:r>
      <w:r>
        <w:rPr>
          <w:color w:val="231F20"/>
          <w:spacing w:val="29"/>
        </w:rPr>
        <w:t> </w:t>
      </w:r>
      <w:r>
        <w:rPr>
          <w:color w:val="231F20"/>
        </w:rPr>
        <w:t>respect</w:t>
      </w:r>
      <w:r>
        <w:rPr>
          <w:color w:val="231F20"/>
          <w:spacing w:val="29"/>
        </w:rPr>
        <w:t> </w:t>
      </w:r>
      <w:r>
        <w:rPr>
          <w:color w:val="231F20"/>
        </w:rPr>
        <w:t>to</w:t>
      </w:r>
      <w:r>
        <w:rPr>
          <w:color w:val="231F20"/>
          <w:spacing w:val="29"/>
        </w:rPr>
        <w:t> </w:t>
      </w:r>
      <w:r>
        <w:rPr>
          <w:color w:val="231F20"/>
        </w:rPr>
        <w:t>Taxes</w:t>
      </w:r>
      <w:r>
        <w:rPr>
          <w:color w:val="231F20"/>
          <w:spacing w:val="29"/>
        </w:rPr>
        <w:t> </w:t>
      </w:r>
      <w:r>
        <w:rPr>
          <w:color w:val="231F20"/>
        </w:rPr>
        <w:t>on</w:t>
      </w:r>
      <w:r>
        <w:rPr>
          <w:color w:val="231F20"/>
          <w:spacing w:val="29"/>
        </w:rPr>
        <w:t> </w:t>
      </w:r>
      <w:r>
        <w:rPr>
          <w:color w:val="231F20"/>
        </w:rPr>
        <w:t>Income</w:t>
      </w:r>
      <w:r>
        <w:rPr>
          <w:color w:val="231F20"/>
          <w:spacing w:val="29"/>
        </w:rPr>
        <w:t> </w:t>
      </w:r>
      <w:r>
        <w:rPr>
          <w:color w:val="231F20"/>
        </w:rPr>
        <w:t>(Guo</w:t>
      </w:r>
      <w:r>
        <w:rPr>
          <w:color w:val="231F20"/>
          <w:spacing w:val="29"/>
        </w:rPr>
        <w:t> </w:t>
      </w:r>
      <w:r>
        <w:rPr>
          <w:color w:val="231F20"/>
        </w:rPr>
        <w:t>Shui</w:t>
      </w:r>
      <w:r>
        <w:rPr>
          <w:color w:val="231F20"/>
          <w:spacing w:val="29"/>
        </w:rPr>
        <w:t> </w:t>
      </w:r>
      <w:r>
        <w:rPr>
          <w:color w:val="231F20"/>
        </w:rPr>
        <w:t>Han</w:t>
      </w:r>
      <w:r>
        <w:rPr>
          <w:color w:val="231F20"/>
          <w:spacing w:val="29"/>
        </w:rPr>
        <w:t> </w:t>
      </w:r>
      <w:r>
        <w:rPr>
          <w:color w:val="231F20"/>
        </w:rPr>
        <w:t>[2006</w:t>
      </w:r>
      <w:r>
        <w:rPr>
          <w:color w:val="231F20"/>
          <w:spacing w:val="14"/>
        </w:rPr>
        <w:t>] </w:t>
      </w:r>
      <w:r>
        <w:rPr>
          <w:color w:val="231F20"/>
        </w:rPr>
        <w:t>No</w:t>
      </w:r>
      <w:r>
        <w:rPr>
          <w:color w:val="231F20"/>
          <w:spacing w:val="14"/>
        </w:rPr>
        <w:t>. </w:t>
      </w:r>
      <w:r>
        <w:rPr>
          <w:color w:val="231F20"/>
        </w:rPr>
        <w:t>884</w:t>
      </w:r>
      <w:r>
        <w:rPr>
          <w:color w:val="231F20"/>
          <w:spacing w:val="9"/>
        </w:rPr>
        <w:t>) (</w:t>
      </w:r>
      <w:r>
        <w:rPr>
          <w:rFonts w:ascii="新細明體" w:eastAsia="新細明體"/>
          <w:color w:val="231F20"/>
        </w:rPr>
        <w:t>《內地和香港特別行政區關於對所得避免雙重徵稅和防止偷漏稅的安排》 </w:t>
      </w:r>
      <w:r>
        <w:rPr>
          <w:color w:val="231F20"/>
        </w:rPr>
        <w:t>(</w:t>
      </w:r>
      <w:r>
        <w:rPr>
          <w:rFonts w:ascii="新細明體" w:eastAsia="新細明體"/>
          <w:color w:val="231F20"/>
        </w:rPr>
        <w:t>國稅函</w:t>
      </w:r>
      <w:r>
        <w:rPr>
          <w:color w:val="231F20"/>
        </w:rPr>
        <w:t>[2006]884</w:t>
      </w:r>
      <w:r>
        <w:rPr>
          <w:rFonts w:ascii="新細明體" w:eastAsia="新細明體"/>
          <w:color w:val="231F20"/>
        </w:rPr>
        <w:t>號</w:t>
      </w:r>
      <w:r>
        <w:rPr>
          <w:color w:val="231F20"/>
        </w:rPr>
        <w:t>)) signed on August 21, 2006, </w:t>
      </w:r>
      <w:r>
        <w:rPr>
          <w:color w:val="231F20"/>
        </w:rPr>
        <w:t>the</w:t>
      </w:r>
      <w:r>
        <w:rPr>
          <w:color w:val="231F20"/>
          <w:spacing w:val="80"/>
        </w:rPr>
        <w:t> </w:t>
      </w:r>
      <w:r>
        <w:rPr>
          <w:color w:val="231F20"/>
        </w:rPr>
        <w:t>PRC</w:t>
      </w:r>
      <w:r>
        <w:rPr>
          <w:color w:val="231F20"/>
          <w:spacing w:val="22"/>
        </w:rPr>
        <w:t> </w:t>
      </w:r>
      <w:r>
        <w:rPr>
          <w:color w:val="231F20"/>
        </w:rPr>
        <w:t>government</w:t>
      </w:r>
      <w:r>
        <w:rPr>
          <w:color w:val="231F20"/>
          <w:spacing w:val="23"/>
        </w:rPr>
        <w:t> </w:t>
      </w:r>
      <w:r>
        <w:rPr>
          <w:color w:val="231F20"/>
        </w:rPr>
        <w:t>may</w:t>
      </w:r>
      <w:r>
        <w:rPr>
          <w:color w:val="231F20"/>
          <w:spacing w:val="23"/>
        </w:rPr>
        <w:t> </w:t>
      </w:r>
      <w:r>
        <w:rPr>
          <w:color w:val="231F20"/>
        </w:rPr>
        <w:t>impose</w:t>
      </w:r>
      <w:r>
        <w:rPr>
          <w:color w:val="231F20"/>
          <w:spacing w:val="22"/>
        </w:rPr>
        <w:t> </w:t>
      </w:r>
      <w:r>
        <w:rPr>
          <w:color w:val="231F20"/>
        </w:rPr>
        <w:t>tax</w:t>
      </w:r>
      <w:r>
        <w:rPr>
          <w:color w:val="231F20"/>
          <w:spacing w:val="23"/>
        </w:rPr>
        <w:t> </w:t>
      </w:r>
      <w:r>
        <w:rPr>
          <w:color w:val="231F20"/>
        </w:rPr>
        <w:t>on</w:t>
      </w:r>
      <w:r>
        <w:rPr>
          <w:color w:val="231F20"/>
          <w:spacing w:val="23"/>
        </w:rPr>
        <w:t> </w:t>
      </w:r>
      <w:r>
        <w:rPr>
          <w:color w:val="231F20"/>
        </w:rPr>
        <w:t>dividends</w:t>
      </w:r>
      <w:r>
        <w:rPr>
          <w:color w:val="231F20"/>
          <w:spacing w:val="22"/>
        </w:rPr>
        <w:t> </w:t>
      </w:r>
      <w:r>
        <w:rPr>
          <w:color w:val="231F20"/>
        </w:rPr>
        <w:t>payable</w:t>
      </w:r>
      <w:r>
        <w:rPr>
          <w:color w:val="231F20"/>
          <w:spacing w:val="23"/>
        </w:rPr>
        <w:t> </w:t>
      </w:r>
      <w:r>
        <w:rPr>
          <w:color w:val="231F20"/>
        </w:rPr>
        <w:t>by</w:t>
      </w:r>
      <w:r>
        <w:rPr>
          <w:color w:val="231F20"/>
          <w:spacing w:val="23"/>
        </w:rPr>
        <w:t> </w:t>
      </w:r>
      <w:r>
        <w:rPr>
          <w:color w:val="231F20"/>
        </w:rPr>
        <w:t>a</w:t>
      </w:r>
      <w:r>
        <w:rPr>
          <w:color w:val="231F20"/>
          <w:spacing w:val="22"/>
        </w:rPr>
        <w:t> </w:t>
      </w:r>
      <w:r>
        <w:rPr>
          <w:color w:val="231F20"/>
        </w:rPr>
        <w:t>PRC</w:t>
      </w:r>
      <w:r>
        <w:rPr>
          <w:color w:val="231F20"/>
          <w:spacing w:val="23"/>
        </w:rPr>
        <w:t> </w:t>
      </w:r>
      <w:r>
        <w:rPr>
          <w:color w:val="231F20"/>
        </w:rPr>
        <w:t>company</w:t>
      </w:r>
      <w:r>
        <w:rPr>
          <w:color w:val="231F20"/>
          <w:spacing w:val="23"/>
        </w:rPr>
        <w:t> </w:t>
      </w:r>
      <w:r>
        <w:rPr>
          <w:color w:val="231F20"/>
        </w:rPr>
        <w:t>to</w:t>
      </w:r>
      <w:r>
        <w:rPr>
          <w:color w:val="231F20"/>
          <w:spacing w:val="22"/>
        </w:rPr>
        <w:t> </w:t>
      </w:r>
      <w:r>
        <w:rPr>
          <w:color w:val="231F20"/>
        </w:rPr>
        <w:t>a</w:t>
      </w:r>
      <w:r>
        <w:rPr>
          <w:color w:val="231F20"/>
          <w:spacing w:val="23"/>
        </w:rPr>
        <w:t> </w:t>
      </w:r>
      <w:r>
        <w:rPr>
          <w:color w:val="231F20"/>
        </w:rPr>
        <w:t>Hong</w:t>
      </w:r>
      <w:r>
        <w:rPr>
          <w:color w:val="231F20"/>
          <w:spacing w:val="23"/>
        </w:rPr>
        <w:t> </w:t>
      </w:r>
      <w:r>
        <w:rPr>
          <w:color w:val="231F20"/>
        </w:rPr>
        <w:t>Kong</w:t>
      </w:r>
      <w:r>
        <w:rPr>
          <w:color w:val="231F20"/>
          <w:spacing w:val="22"/>
        </w:rPr>
        <w:t> </w:t>
      </w:r>
      <w:r>
        <w:rPr>
          <w:color w:val="231F20"/>
        </w:rPr>
        <w:t>resident, but such tax shall not exceed 10% of the gross amount of dividends payable, and in the case where a</w:t>
      </w:r>
      <w:r>
        <w:rPr>
          <w:color w:val="231F20"/>
          <w:spacing w:val="40"/>
        </w:rPr>
        <w:t> </w:t>
      </w:r>
      <w:r>
        <w:rPr>
          <w:color w:val="231F20"/>
        </w:rPr>
        <w:t>Hong Kong resident holds at least 25% of the equity interests in the PRC company, such tax shall not exceed</w:t>
      </w:r>
      <w:r>
        <w:rPr>
          <w:color w:val="231F20"/>
          <w:spacing w:val="40"/>
        </w:rPr>
        <w:t> </w:t>
      </w:r>
      <w:r>
        <w:rPr>
          <w:color w:val="231F20"/>
        </w:rPr>
        <w:t>5</w:t>
      </w:r>
      <w:r>
        <w:rPr>
          <w:color w:val="231F20"/>
          <w:spacing w:val="20"/>
        </w:rPr>
        <w:t>% </w:t>
      </w:r>
      <w:r>
        <w:rPr>
          <w:color w:val="231F20"/>
        </w:rPr>
        <w:t>of</w:t>
      </w:r>
      <w:r>
        <w:rPr>
          <w:color w:val="231F20"/>
          <w:spacing w:val="40"/>
        </w:rPr>
        <w:t> </w:t>
      </w:r>
      <w:r>
        <w:rPr>
          <w:color w:val="231F20"/>
        </w:rPr>
        <w:t>the</w:t>
      </w:r>
      <w:r>
        <w:rPr>
          <w:color w:val="231F20"/>
          <w:spacing w:val="40"/>
        </w:rPr>
        <w:t> </w:t>
      </w:r>
      <w:r>
        <w:rPr>
          <w:color w:val="231F20"/>
        </w:rPr>
        <w:t>gross</w:t>
      </w:r>
      <w:r>
        <w:rPr>
          <w:color w:val="231F20"/>
          <w:spacing w:val="40"/>
        </w:rPr>
        <w:t> </w:t>
      </w:r>
      <w:r>
        <w:rPr>
          <w:color w:val="231F20"/>
        </w:rPr>
        <w:t>amount</w:t>
      </w:r>
      <w:r>
        <w:rPr>
          <w:color w:val="231F20"/>
          <w:spacing w:val="40"/>
        </w:rPr>
        <w:t> </w:t>
      </w:r>
      <w:r>
        <w:rPr>
          <w:color w:val="231F20"/>
        </w:rPr>
        <w:t>of</w:t>
      </w:r>
      <w:r>
        <w:rPr>
          <w:color w:val="231F20"/>
          <w:spacing w:val="40"/>
        </w:rPr>
        <w:t> </w:t>
      </w:r>
      <w:r>
        <w:rPr>
          <w:color w:val="231F20"/>
        </w:rPr>
        <w:t>dividends</w:t>
      </w:r>
      <w:r>
        <w:rPr>
          <w:color w:val="231F20"/>
          <w:spacing w:val="40"/>
        </w:rPr>
        <w:t> </w:t>
      </w:r>
      <w:r>
        <w:rPr>
          <w:color w:val="231F20"/>
        </w:rPr>
        <w:t>payable</w:t>
      </w:r>
      <w:r>
        <w:rPr>
          <w:color w:val="231F20"/>
          <w:spacing w:val="40"/>
        </w:rPr>
        <w:t> </w:t>
      </w:r>
      <w:r>
        <w:rPr>
          <w:color w:val="231F20"/>
        </w:rPr>
        <w:t>by</w:t>
      </w:r>
      <w:r>
        <w:rPr>
          <w:color w:val="231F20"/>
          <w:spacing w:val="40"/>
        </w:rPr>
        <w:t> </w:t>
      </w:r>
      <w:r>
        <w:rPr>
          <w:color w:val="231F20"/>
        </w:rPr>
        <w:t>the</w:t>
      </w:r>
      <w:r>
        <w:rPr>
          <w:color w:val="231F20"/>
          <w:spacing w:val="40"/>
        </w:rPr>
        <w:t> </w:t>
      </w:r>
      <w:r>
        <w:rPr>
          <w:color w:val="231F20"/>
        </w:rPr>
        <w:t>PRC</w:t>
      </w:r>
      <w:r>
        <w:rPr>
          <w:color w:val="231F20"/>
          <w:spacing w:val="40"/>
        </w:rPr>
        <w:t> </w:t>
      </w:r>
      <w:r>
        <w:rPr>
          <w:color w:val="231F20"/>
        </w:rPr>
        <w:t>company.</w:t>
      </w:r>
    </w:p>
    <w:p>
      <w:pPr>
        <w:pStyle w:val="BodyText"/>
        <w:spacing w:before="88"/>
      </w:pPr>
    </w:p>
    <w:p>
      <w:pPr>
        <w:pStyle w:val="BodyText"/>
        <w:spacing w:line="273" w:lineRule="auto"/>
        <w:ind w:left="709" w:right="134" w:firstLine="567"/>
        <w:jc w:val="both"/>
      </w:pPr>
      <w:r>
        <w:rPr>
          <w:color w:val="231F20"/>
        </w:rPr>
        <w:t>Pursuant</w:t>
      </w:r>
      <w:r>
        <w:rPr>
          <w:color w:val="231F20"/>
          <w:spacing w:val="40"/>
        </w:rPr>
        <w:t> </w:t>
      </w:r>
      <w:r>
        <w:rPr>
          <w:color w:val="231F20"/>
        </w:rPr>
        <w:t>to</w:t>
      </w:r>
      <w:r>
        <w:rPr>
          <w:color w:val="231F20"/>
          <w:spacing w:val="40"/>
        </w:rPr>
        <w:t> </w:t>
      </w:r>
      <w:r>
        <w:rPr>
          <w:color w:val="231F20"/>
        </w:rPr>
        <w:t>the</w:t>
      </w:r>
      <w:r>
        <w:rPr>
          <w:color w:val="231F20"/>
          <w:spacing w:val="40"/>
        </w:rPr>
        <w:t> </w:t>
      </w:r>
      <w:r>
        <w:rPr>
          <w:color w:val="231F20"/>
        </w:rPr>
        <w:t>Notice</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Ministry</w:t>
      </w:r>
      <w:r>
        <w:rPr>
          <w:color w:val="231F20"/>
          <w:spacing w:val="40"/>
        </w:rPr>
        <w:t> </w:t>
      </w:r>
      <w:r>
        <w:rPr>
          <w:color w:val="231F20"/>
        </w:rPr>
        <w:t>of</w:t>
      </w:r>
      <w:r>
        <w:rPr>
          <w:color w:val="231F20"/>
          <w:spacing w:val="40"/>
        </w:rPr>
        <w:t> </w:t>
      </w:r>
      <w:r>
        <w:rPr>
          <w:color w:val="231F20"/>
        </w:rPr>
        <w:t>Finance</w:t>
      </w:r>
      <w:r>
        <w:rPr>
          <w:color w:val="231F20"/>
          <w:spacing w:val="20"/>
        </w:rPr>
        <w:t>, </w:t>
      </w:r>
      <w:r>
        <w:rPr>
          <w:color w:val="231F20"/>
        </w:rPr>
        <w:t>the</w:t>
      </w:r>
      <w:r>
        <w:rPr>
          <w:color w:val="231F20"/>
          <w:spacing w:val="40"/>
        </w:rPr>
        <w:t> </w:t>
      </w:r>
      <w:r>
        <w:rPr>
          <w:color w:val="231F20"/>
        </w:rPr>
        <w:t>State</w:t>
      </w:r>
      <w:r>
        <w:rPr>
          <w:color w:val="231F20"/>
          <w:spacing w:val="40"/>
        </w:rPr>
        <w:t> </w:t>
      </w:r>
      <w:r>
        <w:rPr>
          <w:color w:val="231F20"/>
        </w:rPr>
        <w:t>Administration</w:t>
      </w:r>
      <w:r>
        <w:rPr>
          <w:color w:val="231F20"/>
          <w:spacing w:val="40"/>
        </w:rPr>
        <w:t> </w:t>
      </w:r>
      <w:r>
        <w:rPr>
          <w:color w:val="231F20"/>
        </w:rPr>
        <w:t>of</w:t>
      </w:r>
      <w:r>
        <w:rPr>
          <w:color w:val="231F20"/>
          <w:spacing w:val="40"/>
        </w:rPr>
        <w:t> </w:t>
      </w:r>
      <w:r>
        <w:rPr>
          <w:color w:val="231F20"/>
        </w:rPr>
        <w:t>Taxation</w:t>
      </w:r>
      <w:r>
        <w:rPr>
          <w:color w:val="231F20"/>
          <w:spacing w:val="40"/>
        </w:rPr>
        <w:t> </w:t>
      </w:r>
      <w:r>
        <w:rPr>
          <w:color w:val="231F20"/>
        </w:rPr>
        <w:t>and the</w:t>
      </w:r>
      <w:r>
        <w:rPr>
          <w:color w:val="231F20"/>
          <w:spacing w:val="34"/>
        </w:rPr>
        <w:t> </w:t>
      </w:r>
      <w:r>
        <w:rPr>
          <w:color w:val="231F20"/>
        </w:rPr>
        <w:t>China</w:t>
      </w:r>
      <w:r>
        <w:rPr>
          <w:color w:val="231F20"/>
          <w:spacing w:val="34"/>
        </w:rPr>
        <w:t> </w:t>
      </w:r>
      <w:r>
        <w:rPr>
          <w:color w:val="231F20"/>
        </w:rPr>
        <w:t>Securities</w:t>
      </w:r>
      <w:r>
        <w:rPr>
          <w:color w:val="231F20"/>
          <w:spacing w:val="34"/>
        </w:rPr>
        <w:t> </w:t>
      </w:r>
      <w:r>
        <w:rPr>
          <w:color w:val="231F20"/>
        </w:rPr>
        <w:t>Regulatory</w:t>
      </w:r>
      <w:r>
        <w:rPr>
          <w:color w:val="231F20"/>
          <w:spacing w:val="34"/>
        </w:rPr>
        <w:t> </w:t>
      </w:r>
      <w:r>
        <w:rPr>
          <w:color w:val="231F20"/>
        </w:rPr>
        <w:t>Commission</w:t>
      </w:r>
      <w:r>
        <w:rPr>
          <w:color w:val="231F20"/>
          <w:spacing w:val="34"/>
        </w:rPr>
        <w:t> </w:t>
      </w:r>
      <w:r>
        <w:rPr>
          <w:color w:val="231F20"/>
        </w:rPr>
        <w:t>on</w:t>
      </w:r>
      <w:r>
        <w:rPr>
          <w:color w:val="231F20"/>
          <w:spacing w:val="34"/>
        </w:rPr>
        <w:t> </w:t>
      </w:r>
      <w:r>
        <w:rPr>
          <w:color w:val="231F20"/>
        </w:rPr>
        <w:t>the</w:t>
      </w:r>
      <w:r>
        <w:rPr>
          <w:color w:val="231F20"/>
          <w:spacing w:val="34"/>
        </w:rPr>
        <w:t> </w:t>
      </w:r>
      <w:r>
        <w:rPr>
          <w:color w:val="231F20"/>
        </w:rPr>
        <w:t>Tax</w:t>
      </w:r>
      <w:r>
        <w:rPr>
          <w:color w:val="231F20"/>
          <w:spacing w:val="34"/>
        </w:rPr>
        <w:t> </w:t>
      </w:r>
      <w:r>
        <w:rPr>
          <w:color w:val="231F20"/>
        </w:rPr>
        <w:t>Policies</w:t>
      </w:r>
      <w:r>
        <w:rPr>
          <w:color w:val="231F20"/>
          <w:spacing w:val="34"/>
        </w:rPr>
        <w:t> </w:t>
      </w:r>
      <w:r>
        <w:rPr>
          <w:color w:val="231F20"/>
        </w:rPr>
        <w:t>Related</w:t>
      </w:r>
      <w:r>
        <w:rPr>
          <w:color w:val="231F20"/>
          <w:spacing w:val="34"/>
        </w:rPr>
        <w:t> </w:t>
      </w:r>
      <w:r>
        <w:rPr>
          <w:color w:val="231F20"/>
        </w:rPr>
        <w:t>to</w:t>
      </w:r>
      <w:r>
        <w:rPr>
          <w:color w:val="231F20"/>
          <w:spacing w:val="34"/>
        </w:rPr>
        <w:t> </w:t>
      </w:r>
      <w:r>
        <w:rPr>
          <w:color w:val="231F20"/>
        </w:rPr>
        <w:t>the</w:t>
      </w:r>
      <w:r>
        <w:rPr>
          <w:color w:val="231F20"/>
          <w:spacing w:val="34"/>
        </w:rPr>
        <w:t> </w:t>
      </w:r>
      <w:r>
        <w:rPr>
          <w:color w:val="231F20"/>
        </w:rPr>
        <w:t>Pilot</w:t>
      </w:r>
      <w:r>
        <w:rPr>
          <w:color w:val="231F20"/>
          <w:spacing w:val="34"/>
        </w:rPr>
        <w:t> </w:t>
      </w:r>
      <w:r>
        <w:rPr>
          <w:color w:val="231F20"/>
        </w:rPr>
        <w:t>Programme</w:t>
      </w:r>
      <w:r>
        <w:rPr>
          <w:color w:val="231F20"/>
          <w:spacing w:val="34"/>
        </w:rPr>
        <w:t> </w:t>
      </w:r>
      <w:r>
        <w:rPr>
          <w:color w:val="231F20"/>
        </w:rPr>
        <w:t>of the</w:t>
      </w:r>
      <w:r>
        <w:rPr>
          <w:color w:val="231F20"/>
          <w:spacing w:val="40"/>
        </w:rPr>
        <w:t> </w:t>
      </w:r>
      <w:r>
        <w:rPr>
          <w:color w:val="231F20"/>
        </w:rPr>
        <w:t>Shanghai-Hong</w:t>
      </w:r>
      <w:r>
        <w:rPr>
          <w:color w:val="231F20"/>
          <w:spacing w:val="40"/>
        </w:rPr>
        <w:t> </w:t>
      </w:r>
      <w:r>
        <w:rPr>
          <w:color w:val="231F20"/>
        </w:rPr>
        <w:t>Kong</w:t>
      </w:r>
      <w:r>
        <w:rPr>
          <w:color w:val="231F20"/>
          <w:spacing w:val="40"/>
        </w:rPr>
        <w:t> </w:t>
      </w:r>
      <w:r>
        <w:rPr>
          <w:color w:val="231F20"/>
        </w:rPr>
        <w:t>Stock</w:t>
      </w:r>
      <w:r>
        <w:rPr>
          <w:color w:val="231F20"/>
          <w:spacing w:val="40"/>
        </w:rPr>
        <w:t> </w:t>
      </w:r>
      <w:r>
        <w:rPr>
          <w:color w:val="231F20"/>
        </w:rPr>
        <w:t>Connect</w:t>
      </w:r>
      <w:r>
        <w:rPr>
          <w:color w:val="231F20"/>
          <w:spacing w:val="40"/>
        </w:rPr>
        <w:t> </w:t>
      </w:r>
      <w:r>
        <w:rPr>
          <w:color w:val="231F20"/>
        </w:rPr>
        <w:t>(Cai</w:t>
      </w:r>
      <w:r>
        <w:rPr>
          <w:color w:val="231F20"/>
          <w:spacing w:val="40"/>
        </w:rPr>
        <w:t> </w:t>
      </w:r>
      <w:r>
        <w:rPr>
          <w:color w:val="231F20"/>
        </w:rPr>
        <w:t>Shui</w:t>
      </w:r>
      <w:r>
        <w:rPr>
          <w:color w:val="231F20"/>
          <w:spacing w:val="40"/>
        </w:rPr>
        <w:t> </w:t>
      </w:r>
      <w:r>
        <w:rPr>
          <w:color w:val="231F20"/>
        </w:rPr>
        <w:t>[2014</w:t>
      </w:r>
      <w:r>
        <w:rPr>
          <w:color w:val="231F20"/>
          <w:spacing w:val="20"/>
        </w:rPr>
        <w:t>] </w:t>
      </w:r>
      <w:r>
        <w:rPr>
          <w:color w:val="231F20"/>
        </w:rPr>
        <w:t>No</w:t>
      </w:r>
      <w:r>
        <w:rPr>
          <w:color w:val="231F20"/>
          <w:spacing w:val="20"/>
        </w:rPr>
        <w:t>. </w:t>
      </w:r>
      <w:r>
        <w:rPr>
          <w:color w:val="231F20"/>
        </w:rPr>
        <w:t>81</w:t>
      </w:r>
      <w:r>
        <w:rPr>
          <w:color w:val="231F20"/>
          <w:spacing w:val="13"/>
        </w:rPr>
        <w:t>) (</w:t>
      </w:r>
      <w:r>
        <w:rPr>
          <w:rFonts w:ascii="新細明體" w:eastAsia="新細明體"/>
          <w:color w:val="231F20"/>
        </w:rPr>
        <w:t>《財政部國家稅務總局證監會關於滬港股票市場交易互聯互通機制試點有關稅收政策的通知》</w:t>
      </w:r>
      <w:r>
        <w:rPr>
          <w:color w:val="231F20"/>
        </w:rPr>
        <w:t>(</w:t>
      </w:r>
      <w:r>
        <w:rPr>
          <w:rFonts w:ascii="新細明體" w:eastAsia="新細明體"/>
          <w:color w:val="231F20"/>
        </w:rPr>
        <w:t>財稅</w:t>
      </w:r>
      <w:r>
        <w:rPr>
          <w:color w:val="231F20"/>
        </w:rPr>
        <w:t>[2014]81</w:t>
      </w:r>
      <w:r>
        <w:rPr>
          <w:rFonts w:ascii="新細明體" w:eastAsia="新細明體"/>
          <w:color w:val="231F20"/>
        </w:rPr>
        <w:t>號</w:t>
      </w:r>
      <w:r>
        <w:rPr>
          <w:color w:val="231F20"/>
        </w:rPr>
        <w:t>)) and the Notice on the Tax Policies Related to the Pilot Programme of the Shenzhen-Hong Kong Stock Connect (Cai</w:t>
      </w:r>
      <w:r>
        <w:rPr>
          <w:color w:val="231F20"/>
          <w:spacing w:val="80"/>
        </w:rPr>
        <w:t> </w:t>
      </w:r>
      <w:r>
        <w:rPr>
          <w:color w:val="231F20"/>
        </w:rPr>
        <w:t>Shui [2016] No. 127) (</w:t>
      </w:r>
      <w:r>
        <w:rPr>
          <w:rFonts w:ascii="新細明體" w:eastAsia="新細明體"/>
          <w:color w:val="231F20"/>
        </w:rPr>
        <w:t>《關於深港股票市場交易互聯互通機制試點有關稅收政策的通知》 </w:t>
      </w:r>
      <w:r>
        <w:rPr>
          <w:color w:val="231F20"/>
        </w:rPr>
        <w:t>(</w:t>
      </w:r>
      <w:r>
        <w:rPr>
          <w:rFonts w:ascii="新細明體" w:eastAsia="新細明體"/>
          <w:color w:val="231F20"/>
        </w:rPr>
        <w:t>財稅 </w:t>
      </w:r>
      <w:r>
        <w:rPr>
          <w:color w:val="231F20"/>
        </w:rPr>
        <w:t>[2016]127</w:t>
      </w:r>
      <w:r>
        <w:rPr>
          <w:rFonts w:ascii="新細明體" w:eastAsia="新細明體"/>
          <w:color w:val="231F20"/>
        </w:rPr>
        <w:t>號</w:t>
      </w:r>
      <w:r>
        <w:rPr>
          <w:color w:val="231F20"/>
          <w:spacing w:val="10"/>
        </w:rPr>
        <w:t>)), </w:t>
      </w:r>
      <w:r>
        <w:rPr>
          <w:color w:val="231F20"/>
        </w:rPr>
        <w:t>for</w:t>
      </w:r>
      <w:r>
        <w:rPr>
          <w:color w:val="231F20"/>
          <w:spacing w:val="40"/>
        </w:rPr>
        <w:t> </w:t>
      </w:r>
      <w:r>
        <w:rPr>
          <w:color w:val="231F20"/>
        </w:rPr>
        <w:t>dividends</w:t>
      </w:r>
      <w:r>
        <w:rPr>
          <w:color w:val="231F20"/>
          <w:spacing w:val="40"/>
        </w:rPr>
        <w:t> </w:t>
      </w:r>
      <w:r>
        <w:rPr>
          <w:color w:val="231F20"/>
        </w:rPr>
        <w:t>and</w:t>
      </w:r>
      <w:r>
        <w:rPr>
          <w:color w:val="231F20"/>
          <w:spacing w:val="40"/>
        </w:rPr>
        <w:t> </w:t>
      </w:r>
      <w:r>
        <w:rPr>
          <w:color w:val="231F20"/>
        </w:rPr>
        <w:t>bonuses</w:t>
      </w:r>
      <w:r>
        <w:rPr>
          <w:color w:val="231F20"/>
          <w:spacing w:val="40"/>
        </w:rPr>
        <w:t> </w:t>
      </w:r>
      <w:r>
        <w:rPr>
          <w:color w:val="231F20"/>
        </w:rPr>
        <w:t>received</w:t>
      </w:r>
      <w:r>
        <w:rPr>
          <w:color w:val="231F20"/>
          <w:spacing w:val="40"/>
        </w:rPr>
        <w:t> </w:t>
      </w:r>
      <w:r>
        <w:rPr>
          <w:color w:val="231F20"/>
        </w:rPr>
        <w:t>by</w:t>
      </w:r>
      <w:r>
        <w:rPr>
          <w:color w:val="231F20"/>
          <w:spacing w:val="40"/>
        </w:rPr>
        <w:t> </w:t>
      </w:r>
      <w:r>
        <w:rPr>
          <w:color w:val="231F20"/>
        </w:rPr>
        <w:t>domestic</w:t>
      </w:r>
      <w:r>
        <w:rPr>
          <w:color w:val="231F20"/>
          <w:spacing w:val="40"/>
        </w:rPr>
        <w:t> </w:t>
      </w:r>
      <w:r>
        <w:rPr>
          <w:color w:val="231F20"/>
        </w:rPr>
        <w:t>individual</w:t>
      </w:r>
      <w:r>
        <w:rPr>
          <w:color w:val="231F20"/>
          <w:spacing w:val="40"/>
        </w:rPr>
        <w:t> </w:t>
      </w:r>
      <w:r>
        <w:rPr>
          <w:color w:val="231F20"/>
        </w:rPr>
        <w:t>investors</w:t>
      </w:r>
      <w:r>
        <w:rPr>
          <w:color w:val="231F20"/>
          <w:spacing w:val="40"/>
        </w:rPr>
        <w:t> </w:t>
      </w:r>
      <w:r>
        <w:rPr>
          <w:color w:val="231F20"/>
        </w:rPr>
        <w:t>from</w:t>
      </w:r>
      <w:r>
        <w:rPr>
          <w:color w:val="231F20"/>
          <w:spacing w:val="40"/>
        </w:rPr>
        <w:t> </w:t>
      </w:r>
      <w:r>
        <w:rPr>
          <w:color w:val="231F20"/>
        </w:rPr>
        <w:t>investing in</w:t>
      </w:r>
      <w:r>
        <w:rPr>
          <w:color w:val="231F20"/>
          <w:spacing w:val="37"/>
        </w:rPr>
        <w:t> </w:t>
      </w:r>
      <w:r>
        <w:rPr>
          <w:color w:val="231F20"/>
        </w:rPr>
        <w:t>H</w:t>
      </w:r>
      <w:r>
        <w:rPr>
          <w:color w:val="231F20"/>
          <w:spacing w:val="37"/>
        </w:rPr>
        <w:t> </w:t>
      </w:r>
      <w:r>
        <w:rPr>
          <w:color w:val="231F20"/>
        </w:rPr>
        <w:t>shares</w:t>
      </w:r>
      <w:r>
        <w:rPr>
          <w:color w:val="231F20"/>
          <w:spacing w:val="37"/>
        </w:rPr>
        <w:t> </w:t>
      </w:r>
      <w:r>
        <w:rPr>
          <w:color w:val="231F20"/>
        </w:rPr>
        <w:t>listed</w:t>
      </w:r>
      <w:r>
        <w:rPr>
          <w:color w:val="231F20"/>
          <w:spacing w:val="37"/>
        </w:rPr>
        <w:t> </w:t>
      </w:r>
      <w:r>
        <w:rPr>
          <w:color w:val="231F20"/>
        </w:rPr>
        <w:t>on</w:t>
      </w:r>
      <w:r>
        <w:rPr>
          <w:color w:val="231F20"/>
          <w:spacing w:val="37"/>
        </w:rPr>
        <w:t> </w:t>
      </w:r>
      <w:r>
        <w:rPr>
          <w:color w:val="231F20"/>
        </w:rPr>
        <w:t>the</w:t>
      </w:r>
      <w:r>
        <w:rPr>
          <w:color w:val="231F20"/>
          <w:spacing w:val="37"/>
        </w:rPr>
        <w:t> </w:t>
      </w:r>
      <w:r>
        <w:rPr>
          <w:color w:val="231F20"/>
        </w:rPr>
        <w:t>Hong</w:t>
      </w:r>
      <w:r>
        <w:rPr>
          <w:color w:val="231F20"/>
          <w:spacing w:val="37"/>
        </w:rPr>
        <w:t> </w:t>
      </w:r>
      <w:r>
        <w:rPr>
          <w:color w:val="231F20"/>
        </w:rPr>
        <w:t>Kong</w:t>
      </w:r>
      <w:r>
        <w:rPr>
          <w:color w:val="231F20"/>
          <w:spacing w:val="37"/>
        </w:rPr>
        <w:t> </w:t>
      </w:r>
      <w:r>
        <w:rPr>
          <w:color w:val="231F20"/>
        </w:rPr>
        <w:t>Stock</w:t>
      </w:r>
      <w:r>
        <w:rPr>
          <w:color w:val="231F20"/>
          <w:spacing w:val="37"/>
        </w:rPr>
        <w:t> </w:t>
      </w:r>
      <w:r>
        <w:rPr>
          <w:color w:val="231F20"/>
        </w:rPr>
        <w:t>Exchange</w:t>
      </w:r>
      <w:r>
        <w:rPr>
          <w:color w:val="231F20"/>
          <w:spacing w:val="37"/>
        </w:rPr>
        <w:t> </w:t>
      </w:r>
      <w:r>
        <w:rPr>
          <w:color w:val="231F20"/>
        </w:rPr>
        <w:t>through</w:t>
      </w:r>
      <w:r>
        <w:rPr>
          <w:color w:val="231F20"/>
          <w:spacing w:val="37"/>
        </w:rPr>
        <w:t> </w:t>
      </w:r>
      <w:r>
        <w:rPr>
          <w:color w:val="231F20"/>
        </w:rPr>
        <w:t>Shanghai-Hong</w:t>
      </w:r>
      <w:r>
        <w:rPr>
          <w:color w:val="231F20"/>
          <w:spacing w:val="37"/>
        </w:rPr>
        <w:t> </w:t>
      </w:r>
      <w:r>
        <w:rPr>
          <w:color w:val="231F20"/>
        </w:rPr>
        <w:t>Kong</w:t>
      </w:r>
      <w:r>
        <w:rPr>
          <w:color w:val="231F20"/>
          <w:spacing w:val="37"/>
        </w:rPr>
        <w:t> </w:t>
      </w:r>
      <w:r>
        <w:rPr>
          <w:color w:val="231F20"/>
        </w:rPr>
        <w:t>Stock</w:t>
      </w:r>
      <w:r>
        <w:rPr>
          <w:color w:val="231F20"/>
          <w:spacing w:val="37"/>
        </w:rPr>
        <w:t> </w:t>
      </w:r>
      <w:r>
        <w:rPr>
          <w:color w:val="231F20"/>
        </w:rPr>
        <w:t>Connect or</w:t>
      </w:r>
      <w:r>
        <w:rPr>
          <w:color w:val="231F20"/>
          <w:spacing w:val="27"/>
        </w:rPr>
        <w:t> </w:t>
      </w:r>
      <w:r>
        <w:rPr>
          <w:color w:val="231F20"/>
        </w:rPr>
        <w:t>Shenzhen-Hong</w:t>
      </w:r>
      <w:r>
        <w:rPr>
          <w:color w:val="231F20"/>
          <w:spacing w:val="27"/>
        </w:rPr>
        <w:t> </w:t>
      </w:r>
      <w:r>
        <w:rPr>
          <w:color w:val="231F20"/>
        </w:rPr>
        <w:t>Kong</w:t>
      </w:r>
      <w:r>
        <w:rPr>
          <w:color w:val="231F20"/>
          <w:spacing w:val="27"/>
        </w:rPr>
        <w:t> </w:t>
      </w:r>
      <w:r>
        <w:rPr>
          <w:color w:val="231F20"/>
        </w:rPr>
        <w:t>Stock</w:t>
      </w:r>
      <w:r>
        <w:rPr>
          <w:color w:val="231F20"/>
          <w:spacing w:val="27"/>
        </w:rPr>
        <w:t> </w:t>
      </w:r>
      <w:r>
        <w:rPr>
          <w:color w:val="231F20"/>
        </w:rPr>
        <w:t>Connect</w:t>
      </w:r>
      <w:r>
        <w:rPr>
          <w:color w:val="231F20"/>
          <w:spacing w:val="14"/>
        </w:rPr>
        <w:t>, </w:t>
      </w:r>
      <w:r>
        <w:rPr>
          <w:color w:val="231F20"/>
        </w:rPr>
        <w:t>the</w:t>
      </w:r>
      <w:r>
        <w:rPr>
          <w:color w:val="231F20"/>
          <w:spacing w:val="28"/>
        </w:rPr>
        <w:t> </w:t>
      </w:r>
      <w:r>
        <w:rPr>
          <w:color w:val="231F20"/>
        </w:rPr>
        <w:t>H-share</w:t>
      </w:r>
      <w:r>
        <w:rPr>
          <w:color w:val="231F20"/>
          <w:spacing w:val="28"/>
        </w:rPr>
        <w:t> </w:t>
      </w:r>
      <w:r>
        <w:rPr>
          <w:color w:val="231F20"/>
        </w:rPr>
        <w:t>companies</w:t>
      </w:r>
      <w:r>
        <w:rPr>
          <w:color w:val="231F20"/>
          <w:spacing w:val="28"/>
        </w:rPr>
        <w:t> </w:t>
      </w:r>
      <w:r>
        <w:rPr>
          <w:color w:val="231F20"/>
        </w:rPr>
        <w:t>shall</w:t>
      </w:r>
      <w:r>
        <w:rPr>
          <w:color w:val="231F20"/>
          <w:spacing w:val="28"/>
        </w:rPr>
        <w:t> </w:t>
      </w:r>
      <w:r>
        <w:rPr>
          <w:color w:val="231F20"/>
        </w:rPr>
        <w:t>withhold</w:t>
      </w:r>
      <w:r>
        <w:rPr>
          <w:color w:val="231F20"/>
          <w:spacing w:val="28"/>
        </w:rPr>
        <w:t> </w:t>
      </w:r>
      <w:r>
        <w:rPr>
          <w:color w:val="231F20"/>
        </w:rPr>
        <w:t>individual</w:t>
      </w:r>
      <w:r>
        <w:rPr>
          <w:color w:val="231F20"/>
          <w:spacing w:val="28"/>
        </w:rPr>
        <w:t> </w:t>
      </w:r>
      <w:r>
        <w:rPr>
          <w:color w:val="231F20"/>
        </w:rPr>
        <w:t>income</w:t>
      </w:r>
      <w:r>
        <w:rPr>
          <w:color w:val="231F20"/>
          <w:spacing w:val="28"/>
        </w:rPr>
        <w:t> </w:t>
      </w:r>
      <w:r>
        <w:rPr>
          <w:color w:val="231F20"/>
        </w:rPr>
        <w:t>tax at the rate of 20%.</w:t>
      </w:r>
    </w:p>
    <w:p>
      <w:pPr>
        <w:pStyle w:val="BodyText"/>
        <w:spacing w:before="65"/>
      </w:pPr>
    </w:p>
    <w:p>
      <w:pPr>
        <w:pStyle w:val="Heading5"/>
        <w:numPr>
          <w:ilvl w:val="0"/>
          <w:numId w:val="6"/>
        </w:numPr>
        <w:tabs>
          <w:tab w:pos="1276" w:val="left" w:leader="none"/>
        </w:tabs>
        <w:spacing w:line="240" w:lineRule="auto" w:before="0" w:after="0"/>
        <w:ind w:left="1276" w:right="0" w:hanging="567"/>
        <w:jc w:val="left"/>
        <w:rPr>
          <w:color w:val="231F20"/>
        </w:rPr>
      </w:pPr>
      <w:r>
        <w:rPr>
          <w:i/>
          <w:color w:val="231F20"/>
          <w:spacing w:val="-2"/>
          <w:w w:val="105"/>
        </w:rPr>
        <w:t>Enterprises</w:t>
      </w:r>
    </w:p>
    <w:p>
      <w:pPr>
        <w:pStyle w:val="BodyText"/>
        <w:spacing w:before="63"/>
        <w:rPr>
          <w:b/>
          <w:i/>
        </w:rPr>
      </w:pPr>
    </w:p>
    <w:p>
      <w:pPr>
        <w:pStyle w:val="BodyText"/>
        <w:spacing w:line="280" w:lineRule="exact"/>
        <w:ind w:left="709" w:right="132" w:firstLine="567"/>
        <w:jc w:val="both"/>
      </w:pPr>
      <w:r>
        <w:rPr>
          <w:color w:val="231F20"/>
        </w:rPr>
        <w:t>Pursuant</w:t>
      </w:r>
      <w:r>
        <w:rPr>
          <w:color w:val="231F20"/>
          <w:spacing w:val="40"/>
        </w:rPr>
        <w:t> </w:t>
      </w:r>
      <w:r>
        <w:rPr>
          <w:color w:val="231F20"/>
        </w:rPr>
        <w:t>to</w:t>
      </w:r>
      <w:r>
        <w:rPr>
          <w:color w:val="231F20"/>
          <w:spacing w:val="40"/>
        </w:rPr>
        <w:t> </w:t>
      </w:r>
      <w:r>
        <w:rPr>
          <w:color w:val="231F20"/>
        </w:rPr>
        <w:t>the</w:t>
      </w:r>
      <w:r>
        <w:rPr>
          <w:color w:val="231F20"/>
          <w:spacing w:val="40"/>
        </w:rPr>
        <w:t> </w:t>
      </w:r>
      <w:r>
        <w:rPr>
          <w:color w:val="231F20"/>
        </w:rPr>
        <w:t>Enterprise</w:t>
      </w:r>
      <w:r>
        <w:rPr>
          <w:color w:val="231F20"/>
          <w:spacing w:val="40"/>
        </w:rPr>
        <w:t> </w:t>
      </w:r>
      <w:r>
        <w:rPr>
          <w:color w:val="231F20"/>
        </w:rPr>
        <w:t>Income</w:t>
      </w:r>
      <w:r>
        <w:rPr>
          <w:color w:val="231F20"/>
          <w:spacing w:val="40"/>
        </w:rPr>
        <w:t> </w:t>
      </w:r>
      <w:r>
        <w:rPr>
          <w:color w:val="231F20"/>
        </w:rPr>
        <w:t>Tax</w:t>
      </w:r>
      <w:r>
        <w:rPr>
          <w:color w:val="231F20"/>
          <w:spacing w:val="40"/>
        </w:rPr>
        <w:t> </w:t>
      </w:r>
      <w:r>
        <w:rPr>
          <w:color w:val="231F20"/>
        </w:rPr>
        <w:t>Law</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People’s</w:t>
      </w:r>
      <w:r>
        <w:rPr>
          <w:color w:val="231F20"/>
          <w:spacing w:val="40"/>
        </w:rPr>
        <w:t> </w:t>
      </w:r>
      <w:r>
        <w:rPr>
          <w:color w:val="231F20"/>
        </w:rPr>
        <w:t>Republic</w:t>
      </w:r>
      <w:r>
        <w:rPr>
          <w:color w:val="231F20"/>
          <w:spacing w:val="40"/>
        </w:rPr>
        <w:t> </w:t>
      </w:r>
      <w:r>
        <w:rPr>
          <w:color w:val="231F20"/>
        </w:rPr>
        <w:t>of</w:t>
      </w:r>
      <w:r>
        <w:rPr>
          <w:color w:val="231F20"/>
          <w:spacing w:val="40"/>
        </w:rPr>
        <w:t> </w:t>
      </w:r>
      <w:r>
        <w:rPr>
          <w:color w:val="231F20"/>
        </w:rPr>
        <w:t>China</w:t>
      </w:r>
      <w:r>
        <w:rPr>
          <w:color w:val="231F20"/>
          <w:spacing w:val="20"/>
        </w:rPr>
        <w:t> (</w:t>
      </w:r>
      <w:r>
        <w:rPr>
          <w:rFonts w:ascii="新細明體" w:hAnsi="新細明體" w:eastAsia="新細明體"/>
          <w:color w:val="231F20"/>
        </w:rPr>
        <w:t>《中華人民共和國企業所得稅法》</w:t>
      </w:r>
      <w:r>
        <w:rPr>
          <w:color w:val="231F20"/>
        </w:rPr>
        <w:t>) and the Implementation Rules of the Enterprise Income Tax Law of the People’s Republic of China (</w:t>
      </w:r>
      <w:r>
        <w:rPr>
          <w:rFonts w:ascii="新細明體" w:hAnsi="新細明體" w:eastAsia="新細明體"/>
          <w:color w:val="231F20"/>
        </w:rPr>
        <w:t>《中華人民共和國企業所得稅法實施條例》</w:t>
      </w:r>
      <w:r>
        <w:rPr>
          <w:color w:val="231F20"/>
        </w:rPr>
        <w:t>) which came into effect on January 1, 2008, a non-resident enterprise is subject to a 10% enterprise income tax on PRC-sourced income</w:t>
      </w:r>
      <w:r>
        <w:rPr>
          <w:color w:val="231F20"/>
          <w:spacing w:val="12"/>
        </w:rPr>
        <w:t>, </w:t>
      </w:r>
      <w:r>
        <w:rPr>
          <w:color w:val="231F20"/>
        </w:rPr>
        <w:t>if</w:t>
      </w:r>
      <w:r>
        <w:rPr>
          <w:color w:val="231F20"/>
          <w:spacing w:val="24"/>
        </w:rPr>
        <w:t> </w:t>
      </w:r>
      <w:r>
        <w:rPr>
          <w:color w:val="231F20"/>
        </w:rPr>
        <w:t>it</w:t>
      </w:r>
      <w:r>
        <w:rPr>
          <w:color w:val="231F20"/>
          <w:spacing w:val="24"/>
        </w:rPr>
        <w:t> </w:t>
      </w:r>
      <w:r>
        <w:rPr>
          <w:color w:val="231F20"/>
        </w:rPr>
        <w:t>does</w:t>
      </w:r>
      <w:r>
        <w:rPr>
          <w:color w:val="231F20"/>
          <w:spacing w:val="24"/>
        </w:rPr>
        <w:t> </w:t>
      </w:r>
      <w:r>
        <w:rPr>
          <w:color w:val="231F20"/>
        </w:rPr>
        <w:t>not</w:t>
      </w:r>
      <w:r>
        <w:rPr>
          <w:color w:val="231F20"/>
          <w:spacing w:val="24"/>
        </w:rPr>
        <w:t> </w:t>
      </w:r>
      <w:r>
        <w:rPr>
          <w:color w:val="231F20"/>
        </w:rPr>
        <w:t>have</w:t>
      </w:r>
      <w:r>
        <w:rPr>
          <w:color w:val="231F20"/>
          <w:spacing w:val="24"/>
        </w:rPr>
        <w:t> </w:t>
      </w:r>
      <w:r>
        <w:rPr>
          <w:color w:val="231F20"/>
        </w:rPr>
        <w:t>an</w:t>
      </w:r>
      <w:r>
        <w:rPr>
          <w:color w:val="231F20"/>
          <w:spacing w:val="24"/>
        </w:rPr>
        <w:t> </w:t>
      </w:r>
      <w:r>
        <w:rPr>
          <w:color w:val="231F20"/>
        </w:rPr>
        <w:t>establishment</w:t>
      </w:r>
      <w:r>
        <w:rPr>
          <w:color w:val="231F20"/>
          <w:spacing w:val="24"/>
        </w:rPr>
        <w:t> </w:t>
      </w:r>
      <w:r>
        <w:rPr>
          <w:color w:val="231F20"/>
        </w:rPr>
        <w:t>or</w:t>
      </w:r>
      <w:r>
        <w:rPr>
          <w:color w:val="231F20"/>
          <w:spacing w:val="24"/>
        </w:rPr>
        <w:t> </w:t>
      </w:r>
      <w:r>
        <w:rPr>
          <w:color w:val="231F20"/>
        </w:rPr>
        <w:t>place</w:t>
      </w:r>
      <w:r>
        <w:rPr>
          <w:color w:val="231F20"/>
          <w:spacing w:val="24"/>
        </w:rPr>
        <w:t> </w:t>
      </w:r>
      <w:r>
        <w:rPr>
          <w:color w:val="231F20"/>
        </w:rPr>
        <w:t>of</w:t>
      </w:r>
      <w:r>
        <w:rPr>
          <w:color w:val="231F20"/>
          <w:spacing w:val="24"/>
        </w:rPr>
        <w:t> </w:t>
      </w:r>
      <w:r>
        <w:rPr>
          <w:color w:val="231F20"/>
        </w:rPr>
        <w:t>business</w:t>
      </w:r>
      <w:r>
        <w:rPr>
          <w:color w:val="231F20"/>
          <w:spacing w:val="24"/>
        </w:rPr>
        <w:t> </w:t>
      </w:r>
      <w:r>
        <w:rPr>
          <w:color w:val="231F20"/>
        </w:rPr>
        <w:t>in</w:t>
      </w:r>
      <w:r>
        <w:rPr>
          <w:color w:val="231F20"/>
          <w:spacing w:val="24"/>
        </w:rPr>
        <w:t> </w:t>
      </w:r>
      <w:r>
        <w:rPr>
          <w:color w:val="231F20"/>
        </w:rPr>
        <w:t>the</w:t>
      </w:r>
      <w:r>
        <w:rPr>
          <w:color w:val="231F20"/>
          <w:spacing w:val="24"/>
        </w:rPr>
        <w:t> </w:t>
      </w:r>
      <w:r>
        <w:rPr>
          <w:color w:val="231F20"/>
        </w:rPr>
        <w:t>PRC</w:t>
      </w:r>
      <w:r>
        <w:rPr>
          <w:color w:val="231F20"/>
          <w:spacing w:val="12"/>
        </w:rPr>
        <w:t>, </w:t>
      </w:r>
      <w:r>
        <w:rPr>
          <w:color w:val="231F20"/>
        </w:rPr>
        <w:t>or</w:t>
      </w:r>
      <w:r>
        <w:rPr>
          <w:color w:val="231F20"/>
          <w:spacing w:val="24"/>
        </w:rPr>
        <w:t> </w:t>
      </w:r>
      <w:r>
        <w:rPr>
          <w:color w:val="231F20"/>
        </w:rPr>
        <w:t>has</w:t>
      </w:r>
      <w:r>
        <w:rPr>
          <w:color w:val="231F20"/>
          <w:spacing w:val="24"/>
        </w:rPr>
        <w:t> </w:t>
      </w:r>
      <w:r>
        <w:rPr>
          <w:color w:val="231F20"/>
        </w:rPr>
        <w:t>an</w:t>
      </w:r>
      <w:r>
        <w:rPr>
          <w:color w:val="231F20"/>
          <w:spacing w:val="24"/>
        </w:rPr>
        <w:t> </w:t>
      </w:r>
      <w:r>
        <w:rPr>
          <w:color w:val="231F20"/>
        </w:rPr>
        <w:t>establishment or</w:t>
      </w:r>
      <w:r>
        <w:rPr>
          <w:color w:val="231F20"/>
        </w:rPr>
        <w:t> place of business but the dividends and bonuses received have no actual connection with such establishment or place of business. Such withholding tax may be reduced or exempted pursuant to an applicable double taxation avoidance treaty. Any H Shares registered in the name of non-</w:t>
      </w:r>
      <w:r>
        <w:rPr>
          <w:color w:val="231F20"/>
        </w:rPr>
        <w:t>individual shareholders</w:t>
      </w:r>
      <w:r>
        <w:rPr>
          <w:color w:val="231F20"/>
          <w:spacing w:val="20"/>
        </w:rPr>
        <w:t>, </w:t>
      </w:r>
      <w:r>
        <w:rPr>
          <w:color w:val="231F20"/>
        </w:rPr>
        <w:t>including</w:t>
      </w:r>
      <w:r>
        <w:rPr>
          <w:color w:val="231F20"/>
          <w:spacing w:val="40"/>
        </w:rPr>
        <w:t> </w:t>
      </w:r>
      <w:r>
        <w:rPr>
          <w:color w:val="231F20"/>
        </w:rPr>
        <w:t>HKSCC</w:t>
      </w:r>
      <w:r>
        <w:rPr>
          <w:color w:val="231F20"/>
          <w:spacing w:val="40"/>
        </w:rPr>
        <w:t> </w:t>
      </w:r>
      <w:r>
        <w:rPr>
          <w:color w:val="231F20"/>
        </w:rPr>
        <w:t>Nominees</w:t>
      </w:r>
      <w:r>
        <w:rPr>
          <w:color w:val="231F20"/>
          <w:spacing w:val="40"/>
        </w:rPr>
        <w:t> </w:t>
      </w:r>
      <w:r>
        <w:rPr>
          <w:color w:val="231F20"/>
        </w:rPr>
        <w:t>Limited</w:t>
      </w:r>
      <w:r>
        <w:rPr>
          <w:color w:val="231F20"/>
          <w:spacing w:val="20"/>
        </w:rPr>
        <w:t>, </w:t>
      </w:r>
      <w:r>
        <w:rPr>
          <w:color w:val="231F20"/>
        </w:rPr>
        <w:t>other</w:t>
      </w:r>
      <w:r>
        <w:rPr>
          <w:color w:val="231F20"/>
          <w:spacing w:val="40"/>
        </w:rPr>
        <w:t> </w:t>
      </w:r>
      <w:r>
        <w:rPr>
          <w:color w:val="231F20"/>
        </w:rPr>
        <w:t>nominees</w:t>
      </w:r>
      <w:r>
        <w:rPr>
          <w:color w:val="231F20"/>
          <w:spacing w:val="40"/>
        </w:rPr>
        <w:t> </w:t>
      </w:r>
      <w:r>
        <w:rPr>
          <w:color w:val="231F20"/>
        </w:rPr>
        <w:t>or</w:t>
      </w:r>
      <w:r>
        <w:rPr>
          <w:color w:val="231F20"/>
          <w:spacing w:val="40"/>
        </w:rPr>
        <w:t> </w:t>
      </w:r>
      <w:r>
        <w:rPr>
          <w:color w:val="231F20"/>
        </w:rPr>
        <w:t>trustees</w:t>
      </w:r>
      <w:r>
        <w:rPr>
          <w:color w:val="231F20"/>
          <w:spacing w:val="20"/>
        </w:rPr>
        <w:t>, </w:t>
      </w:r>
      <w:r>
        <w:rPr>
          <w:color w:val="231F20"/>
        </w:rPr>
        <w:t>other</w:t>
      </w:r>
      <w:r>
        <w:rPr>
          <w:color w:val="231F20"/>
          <w:spacing w:val="40"/>
        </w:rPr>
        <w:t> </w:t>
      </w:r>
      <w:r>
        <w:rPr>
          <w:color w:val="231F20"/>
        </w:rPr>
        <w:t>organizations or groups, shall be deemed as Shares held by non-resident enterprise Shareholders. The Company will distribute the 2025 Interim Dividend to such non-individual Shareholders after withholding enterprise income tax at the rate of 10%.</w:t>
      </w:r>
    </w:p>
    <w:p>
      <w:pPr>
        <w:pStyle w:val="BodyText"/>
        <w:spacing w:after="0" w:line="280" w:lineRule="exact"/>
        <w:jc w:val="both"/>
        <w:sectPr>
          <w:pgSz w:w="11910" w:h="15880"/>
          <w:pgMar w:header="567" w:footer="573" w:top="1300" w:bottom="760" w:left="1275" w:right="1275"/>
        </w:sectPr>
      </w:pPr>
    </w:p>
    <w:p>
      <w:pPr>
        <w:pStyle w:val="BodyText"/>
        <w:spacing w:before="107"/>
      </w:pPr>
    </w:p>
    <w:p>
      <w:pPr>
        <w:pStyle w:val="BodyText"/>
        <w:spacing w:line="280" w:lineRule="exact"/>
        <w:ind w:left="708" w:right="132" w:firstLine="567"/>
        <w:jc w:val="both"/>
      </w:pPr>
      <w:r>
        <w:rPr>
          <w:color w:val="231F20"/>
        </w:rPr>
        <w:t>Pursuant to the Notice of the State Administration of Taxation on the Issues Concerning Withholding and Paying the Enterprise Income Tax on the Dividends Paid by Chinese Resident Enterprises</w:t>
      </w:r>
      <w:r>
        <w:rPr>
          <w:color w:val="231F20"/>
          <w:spacing w:val="40"/>
        </w:rPr>
        <w:t> </w:t>
      </w:r>
      <w:r>
        <w:rPr>
          <w:color w:val="231F20"/>
        </w:rPr>
        <w:t>to</w:t>
      </w:r>
      <w:r>
        <w:rPr>
          <w:color w:val="231F20"/>
          <w:spacing w:val="40"/>
        </w:rPr>
        <w:t> </w:t>
      </w:r>
      <w:r>
        <w:rPr>
          <w:color w:val="231F20"/>
        </w:rPr>
        <w:t>H</w:t>
      </w:r>
      <w:r>
        <w:rPr>
          <w:color w:val="231F20"/>
          <w:spacing w:val="40"/>
        </w:rPr>
        <w:t> </w:t>
      </w:r>
      <w:r>
        <w:rPr>
          <w:color w:val="231F20"/>
        </w:rPr>
        <w:t>Shareholders</w:t>
      </w:r>
      <w:r>
        <w:rPr>
          <w:color w:val="231F20"/>
          <w:spacing w:val="40"/>
        </w:rPr>
        <w:t> </w:t>
      </w:r>
      <w:r>
        <w:rPr>
          <w:color w:val="231F20"/>
        </w:rPr>
        <w:t>Which</w:t>
      </w:r>
      <w:r>
        <w:rPr>
          <w:color w:val="231F20"/>
          <w:spacing w:val="40"/>
        </w:rPr>
        <w:t> </w:t>
      </w:r>
      <w:r>
        <w:rPr>
          <w:color w:val="231F20"/>
        </w:rPr>
        <w:t>Are</w:t>
      </w:r>
      <w:r>
        <w:rPr>
          <w:color w:val="231F20"/>
          <w:spacing w:val="40"/>
        </w:rPr>
        <w:t> </w:t>
      </w:r>
      <w:r>
        <w:rPr>
          <w:color w:val="231F20"/>
        </w:rPr>
        <w:t>Overseas</w:t>
      </w:r>
      <w:r>
        <w:rPr>
          <w:color w:val="231F20"/>
          <w:spacing w:val="40"/>
        </w:rPr>
        <w:t> </w:t>
      </w:r>
      <w:r>
        <w:rPr>
          <w:color w:val="231F20"/>
        </w:rPr>
        <w:t>Non-resident</w:t>
      </w:r>
      <w:r>
        <w:rPr>
          <w:color w:val="231F20"/>
          <w:spacing w:val="40"/>
        </w:rPr>
        <w:t> </w:t>
      </w:r>
      <w:r>
        <w:rPr>
          <w:color w:val="231F20"/>
        </w:rPr>
        <w:t>Enterprises</w:t>
      </w:r>
      <w:r>
        <w:rPr>
          <w:color w:val="231F20"/>
          <w:spacing w:val="40"/>
        </w:rPr>
        <w:t> </w:t>
      </w:r>
      <w:r>
        <w:rPr>
          <w:color w:val="231F20"/>
        </w:rPr>
        <w:t>(Guo</w:t>
      </w:r>
      <w:r>
        <w:rPr>
          <w:color w:val="231F20"/>
          <w:spacing w:val="40"/>
        </w:rPr>
        <w:t> </w:t>
      </w:r>
      <w:r>
        <w:rPr>
          <w:color w:val="231F20"/>
        </w:rPr>
        <w:t>Shui</w:t>
      </w:r>
      <w:r>
        <w:rPr>
          <w:color w:val="231F20"/>
          <w:spacing w:val="40"/>
        </w:rPr>
        <w:t> </w:t>
      </w:r>
      <w:r>
        <w:rPr>
          <w:color w:val="231F20"/>
        </w:rPr>
        <w:t>Han</w:t>
      </w:r>
      <w:r>
        <w:rPr>
          <w:color w:val="231F20"/>
          <w:spacing w:val="40"/>
        </w:rPr>
        <w:t> </w:t>
      </w:r>
      <w:r>
        <w:rPr>
          <w:color w:val="231F20"/>
        </w:rPr>
        <w:t>[2008] No. 897) (</w:t>
      </w:r>
      <w:r>
        <w:rPr>
          <w:rFonts w:ascii="新細明體" w:eastAsia="新細明體"/>
          <w:color w:val="231F20"/>
        </w:rPr>
        <w:t>《關於中國居民企業向境外</w:t>
      </w:r>
      <w:r>
        <w:rPr>
          <w:color w:val="231F20"/>
        </w:rPr>
        <w:t>H</w:t>
      </w:r>
      <w:r>
        <w:rPr>
          <w:rFonts w:ascii="新細明體" w:eastAsia="新細明體"/>
          <w:color w:val="231F20"/>
        </w:rPr>
        <w:t>股非居民企業股東派發股息代扣代繳企業所得稅有關問題的通知》</w:t>
      </w:r>
      <w:r>
        <w:rPr>
          <w:color w:val="231F20"/>
        </w:rPr>
        <w:t>(</w:t>
      </w:r>
      <w:r>
        <w:rPr>
          <w:rFonts w:ascii="新細明體" w:eastAsia="新細明體"/>
          <w:color w:val="231F20"/>
        </w:rPr>
        <w:t>國稅函</w:t>
      </w:r>
      <w:r>
        <w:rPr>
          <w:color w:val="231F20"/>
        </w:rPr>
        <w:t>[2008]897</w:t>
      </w:r>
      <w:r>
        <w:rPr>
          <w:rFonts w:ascii="新細明體" w:eastAsia="新細明體"/>
          <w:color w:val="231F20"/>
        </w:rPr>
        <w:t>號</w:t>
      </w:r>
      <w:r>
        <w:rPr>
          <w:color w:val="231F20"/>
          <w:spacing w:val="7"/>
        </w:rPr>
        <w:t>)), </w:t>
      </w:r>
      <w:r>
        <w:rPr>
          <w:color w:val="231F20"/>
        </w:rPr>
        <w:t>a</w:t>
      </w:r>
      <w:r>
        <w:rPr>
          <w:color w:val="231F20"/>
          <w:spacing w:val="30"/>
        </w:rPr>
        <w:t> </w:t>
      </w:r>
      <w:r>
        <w:rPr>
          <w:color w:val="231F20"/>
        </w:rPr>
        <w:t>PRC</w:t>
      </w:r>
      <w:r>
        <w:rPr>
          <w:color w:val="231F20"/>
          <w:spacing w:val="30"/>
        </w:rPr>
        <w:t> </w:t>
      </w:r>
      <w:r>
        <w:rPr>
          <w:color w:val="231F20"/>
        </w:rPr>
        <w:t>resident</w:t>
      </w:r>
      <w:r>
        <w:rPr>
          <w:color w:val="231F20"/>
          <w:spacing w:val="30"/>
        </w:rPr>
        <w:t> </w:t>
      </w:r>
      <w:r>
        <w:rPr>
          <w:color w:val="231F20"/>
        </w:rPr>
        <w:t>enterprise</w:t>
      </w:r>
      <w:r>
        <w:rPr>
          <w:color w:val="231F20"/>
          <w:spacing w:val="15"/>
        </w:rPr>
        <w:t>, </w:t>
      </w:r>
      <w:r>
        <w:rPr>
          <w:color w:val="231F20"/>
        </w:rPr>
        <w:t>when</w:t>
      </w:r>
      <w:r>
        <w:rPr>
          <w:color w:val="231F20"/>
          <w:spacing w:val="30"/>
        </w:rPr>
        <w:t> </w:t>
      </w:r>
      <w:r>
        <w:rPr>
          <w:color w:val="231F20"/>
        </w:rPr>
        <w:t>distributing</w:t>
      </w:r>
      <w:r>
        <w:rPr>
          <w:color w:val="231F20"/>
          <w:spacing w:val="30"/>
        </w:rPr>
        <w:t> </w:t>
      </w:r>
      <w:r>
        <w:rPr>
          <w:color w:val="231F20"/>
        </w:rPr>
        <w:t>dividends</w:t>
      </w:r>
      <w:r>
        <w:rPr>
          <w:color w:val="231F20"/>
          <w:spacing w:val="30"/>
        </w:rPr>
        <w:t> </w:t>
      </w:r>
      <w:r>
        <w:rPr>
          <w:color w:val="231F20"/>
        </w:rPr>
        <w:t>for</w:t>
      </w:r>
      <w:r>
        <w:rPr>
          <w:color w:val="231F20"/>
          <w:spacing w:val="30"/>
        </w:rPr>
        <w:t> </w:t>
      </w:r>
      <w:r>
        <w:rPr>
          <w:color w:val="231F20"/>
        </w:rPr>
        <w:t>2008</w:t>
      </w:r>
      <w:r>
        <w:rPr>
          <w:color w:val="231F20"/>
          <w:spacing w:val="30"/>
        </w:rPr>
        <w:t> </w:t>
      </w:r>
      <w:r>
        <w:rPr>
          <w:color w:val="231F20"/>
        </w:rPr>
        <w:t>and for</w:t>
      </w:r>
      <w:r>
        <w:rPr>
          <w:color w:val="231F20"/>
          <w:spacing w:val="40"/>
        </w:rPr>
        <w:t> </w:t>
      </w:r>
      <w:r>
        <w:rPr>
          <w:color w:val="231F20"/>
        </w:rPr>
        <w:t>the</w:t>
      </w:r>
      <w:r>
        <w:rPr>
          <w:color w:val="231F20"/>
          <w:spacing w:val="40"/>
        </w:rPr>
        <w:t> </w:t>
      </w:r>
      <w:r>
        <w:rPr>
          <w:color w:val="231F20"/>
        </w:rPr>
        <w:t>years</w:t>
      </w:r>
      <w:r>
        <w:rPr>
          <w:color w:val="231F20"/>
          <w:spacing w:val="40"/>
        </w:rPr>
        <w:t> </w:t>
      </w:r>
      <w:r>
        <w:rPr>
          <w:color w:val="231F20"/>
        </w:rPr>
        <w:t>thereafter</w:t>
      </w:r>
      <w:r>
        <w:rPr>
          <w:color w:val="231F20"/>
          <w:spacing w:val="40"/>
        </w:rPr>
        <w:t> </w:t>
      </w:r>
      <w:r>
        <w:rPr>
          <w:color w:val="231F20"/>
        </w:rPr>
        <w:t>to</w:t>
      </w:r>
      <w:r>
        <w:rPr>
          <w:color w:val="231F20"/>
          <w:spacing w:val="40"/>
        </w:rPr>
        <w:t> </w:t>
      </w:r>
      <w:r>
        <w:rPr>
          <w:color w:val="231F20"/>
        </w:rPr>
        <w:t>H</w:t>
      </w:r>
      <w:r>
        <w:rPr>
          <w:color w:val="231F20"/>
          <w:spacing w:val="40"/>
        </w:rPr>
        <w:t> </w:t>
      </w:r>
      <w:r>
        <w:rPr>
          <w:color w:val="231F20"/>
        </w:rPr>
        <w:t>shareholders</w:t>
      </w:r>
      <w:r>
        <w:rPr>
          <w:color w:val="231F20"/>
          <w:spacing w:val="40"/>
        </w:rPr>
        <w:t> </w:t>
      </w:r>
      <w:r>
        <w:rPr>
          <w:color w:val="231F20"/>
        </w:rPr>
        <w:t>who</w:t>
      </w:r>
      <w:r>
        <w:rPr>
          <w:color w:val="231F20"/>
          <w:spacing w:val="40"/>
        </w:rPr>
        <w:t> </w:t>
      </w:r>
      <w:r>
        <w:rPr>
          <w:color w:val="231F20"/>
        </w:rPr>
        <w:t>are</w:t>
      </w:r>
      <w:r>
        <w:rPr>
          <w:color w:val="231F20"/>
          <w:spacing w:val="40"/>
        </w:rPr>
        <w:t> </w:t>
      </w:r>
      <w:r>
        <w:rPr>
          <w:color w:val="231F20"/>
        </w:rPr>
        <w:t>overseas</w:t>
      </w:r>
      <w:r>
        <w:rPr>
          <w:color w:val="231F20"/>
          <w:spacing w:val="40"/>
        </w:rPr>
        <w:t> </w:t>
      </w:r>
      <w:r>
        <w:rPr>
          <w:color w:val="231F20"/>
        </w:rPr>
        <w:t>non-resident</w:t>
      </w:r>
      <w:r>
        <w:rPr>
          <w:color w:val="231F20"/>
          <w:spacing w:val="40"/>
        </w:rPr>
        <w:t> </w:t>
      </w:r>
      <w:r>
        <w:rPr>
          <w:color w:val="231F20"/>
        </w:rPr>
        <w:t>enterprises</w:t>
      </w:r>
      <w:r>
        <w:rPr>
          <w:color w:val="231F20"/>
          <w:spacing w:val="20"/>
        </w:rPr>
        <w:t>, </w:t>
      </w:r>
      <w:r>
        <w:rPr>
          <w:color w:val="231F20"/>
        </w:rPr>
        <w:t>shall</w:t>
      </w:r>
      <w:r>
        <w:rPr>
          <w:color w:val="231F20"/>
          <w:spacing w:val="40"/>
        </w:rPr>
        <w:t> </w:t>
      </w:r>
      <w:r>
        <w:rPr>
          <w:color w:val="231F20"/>
        </w:rPr>
        <w:t>withhold and</w:t>
      </w:r>
      <w:r>
        <w:rPr>
          <w:color w:val="231F20"/>
          <w:spacing w:val="40"/>
        </w:rPr>
        <w:t> </w:t>
      </w:r>
      <w:r>
        <w:rPr>
          <w:color w:val="231F20"/>
        </w:rPr>
        <w:t>pay</w:t>
      </w:r>
      <w:r>
        <w:rPr>
          <w:color w:val="231F20"/>
          <w:spacing w:val="40"/>
        </w:rPr>
        <w:t> </w:t>
      </w:r>
      <w:r>
        <w:rPr>
          <w:color w:val="231F20"/>
        </w:rPr>
        <w:t>enterprise</w:t>
      </w:r>
      <w:r>
        <w:rPr>
          <w:color w:val="231F20"/>
          <w:spacing w:val="40"/>
        </w:rPr>
        <w:t> </w:t>
      </w:r>
      <w:r>
        <w:rPr>
          <w:color w:val="231F20"/>
        </w:rPr>
        <w:t>income</w:t>
      </w:r>
      <w:r>
        <w:rPr>
          <w:color w:val="231F20"/>
          <w:spacing w:val="40"/>
        </w:rPr>
        <w:t> </w:t>
      </w:r>
      <w:r>
        <w:rPr>
          <w:color w:val="231F20"/>
        </w:rPr>
        <w:t>tax</w:t>
      </w:r>
      <w:r>
        <w:rPr>
          <w:color w:val="231F20"/>
          <w:spacing w:val="40"/>
        </w:rPr>
        <w:t> </w:t>
      </w:r>
      <w:r>
        <w:rPr>
          <w:color w:val="231F20"/>
        </w:rPr>
        <w:t>at</w:t>
      </w:r>
      <w:r>
        <w:rPr>
          <w:color w:val="231F20"/>
          <w:spacing w:val="40"/>
        </w:rPr>
        <w:t> </w:t>
      </w:r>
      <w:r>
        <w:rPr>
          <w:color w:val="231F20"/>
        </w:rPr>
        <w:t>a</w:t>
      </w:r>
      <w:r>
        <w:rPr>
          <w:color w:val="231F20"/>
          <w:spacing w:val="40"/>
        </w:rPr>
        <w:t> </w:t>
      </w:r>
      <w:r>
        <w:rPr>
          <w:color w:val="231F20"/>
        </w:rPr>
        <w:t>uniform</w:t>
      </w:r>
      <w:r>
        <w:rPr>
          <w:color w:val="231F20"/>
          <w:spacing w:val="40"/>
        </w:rPr>
        <w:t> </w:t>
      </w:r>
      <w:r>
        <w:rPr>
          <w:color w:val="231F20"/>
        </w:rPr>
        <w:t>rate</w:t>
      </w:r>
      <w:r>
        <w:rPr>
          <w:color w:val="231F20"/>
          <w:spacing w:val="40"/>
        </w:rPr>
        <w:t> </w:t>
      </w:r>
      <w:r>
        <w:rPr>
          <w:color w:val="231F20"/>
        </w:rPr>
        <w:t>of</w:t>
      </w:r>
      <w:r>
        <w:rPr>
          <w:color w:val="231F20"/>
          <w:spacing w:val="40"/>
        </w:rPr>
        <w:t> </w:t>
      </w:r>
      <w:r>
        <w:rPr>
          <w:color w:val="231F20"/>
        </w:rPr>
        <w:t>10%.</w:t>
      </w:r>
    </w:p>
    <w:p>
      <w:pPr>
        <w:pStyle w:val="BodyText"/>
        <w:spacing w:before="87"/>
      </w:pPr>
    </w:p>
    <w:p>
      <w:pPr>
        <w:pStyle w:val="BodyText"/>
        <w:spacing w:line="292" w:lineRule="auto" w:before="1"/>
        <w:ind w:left="708" w:right="134" w:firstLine="567"/>
        <w:jc w:val="both"/>
      </w:pPr>
      <w:r>
        <w:rPr>
          <w:color w:val="231F20"/>
        </w:rPr>
        <w:t>For</w:t>
      </w:r>
      <w:r>
        <w:rPr>
          <w:color w:val="231F20"/>
          <w:spacing w:val="40"/>
        </w:rPr>
        <w:t> </w:t>
      </w:r>
      <w:r>
        <w:rPr>
          <w:color w:val="231F20"/>
        </w:rPr>
        <w:t>dividends</w:t>
      </w:r>
      <w:r>
        <w:rPr>
          <w:color w:val="231F20"/>
          <w:spacing w:val="40"/>
        </w:rPr>
        <w:t> </w:t>
      </w:r>
      <w:r>
        <w:rPr>
          <w:color w:val="231F20"/>
        </w:rPr>
        <w:t>and</w:t>
      </w:r>
      <w:r>
        <w:rPr>
          <w:color w:val="231F20"/>
          <w:spacing w:val="40"/>
        </w:rPr>
        <w:t> </w:t>
      </w:r>
      <w:r>
        <w:rPr>
          <w:color w:val="231F20"/>
        </w:rPr>
        <w:t>bonuses</w:t>
      </w:r>
      <w:r>
        <w:rPr>
          <w:color w:val="231F20"/>
          <w:spacing w:val="40"/>
        </w:rPr>
        <w:t> </w:t>
      </w:r>
      <w:r>
        <w:rPr>
          <w:color w:val="231F20"/>
        </w:rPr>
        <w:t>received</w:t>
      </w:r>
      <w:r>
        <w:rPr>
          <w:color w:val="231F20"/>
          <w:spacing w:val="40"/>
        </w:rPr>
        <w:t> </w:t>
      </w:r>
      <w:r>
        <w:rPr>
          <w:color w:val="231F20"/>
        </w:rPr>
        <w:t>by</w:t>
      </w:r>
      <w:r>
        <w:rPr>
          <w:color w:val="231F20"/>
          <w:spacing w:val="40"/>
        </w:rPr>
        <w:t> </w:t>
      </w:r>
      <w:r>
        <w:rPr>
          <w:color w:val="231F20"/>
        </w:rPr>
        <w:t>domestic</w:t>
      </w:r>
      <w:r>
        <w:rPr>
          <w:color w:val="231F20"/>
          <w:spacing w:val="40"/>
        </w:rPr>
        <w:t> </w:t>
      </w:r>
      <w:r>
        <w:rPr>
          <w:color w:val="231F20"/>
        </w:rPr>
        <w:t>securities</w:t>
      </w:r>
      <w:r>
        <w:rPr>
          <w:color w:val="231F20"/>
          <w:spacing w:val="40"/>
        </w:rPr>
        <w:t> </w:t>
      </w:r>
      <w:r>
        <w:rPr>
          <w:color w:val="231F20"/>
        </w:rPr>
        <w:t>investment</w:t>
      </w:r>
      <w:r>
        <w:rPr>
          <w:color w:val="231F20"/>
          <w:spacing w:val="40"/>
        </w:rPr>
        <w:t> </w:t>
      </w:r>
      <w:r>
        <w:rPr>
          <w:color w:val="231F20"/>
        </w:rPr>
        <w:t>funds</w:t>
      </w:r>
      <w:r>
        <w:rPr>
          <w:color w:val="231F20"/>
          <w:spacing w:val="40"/>
        </w:rPr>
        <w:t> </w:t>
      </w:r>
      <w:r>
        <w:rPr>
          <w:color w:val="231F20"/>
        </w:rPr>
        <w:t>from</w:t>
      </w:r>
      <w:r>
        <w:rPr>
          <w:color w:val="231F20"/>
          <w:spacing w:val="40"/>
        </w:rPr>
        <w:t> </w:t>
      </w:r>
      <w:r>
        <w:rPr>
          <w:color w:val="231F20"/>
        </w:rPr>
        <w:t>investing</w:t>
      </w:r>
      <w:r>
        <w:rPr>
          <w:color w:val="231F20"/>
          <w:spacing w:val="40"/>
        </w:rPr>
        <w:t> </w:t>
      </w:r>
      <w:r>
        <w:rPr>
          <w:color w:val="231F20"/>
        </w:rPr>
        <w:t>in shares listed on the Hong Kong Stock Exchange through Shanghai-Hong Kong Stock Connect or Shenzhen-Hong Kong Stock Connect, individual income tax shall be levied in accordance with the</w:t>
      </w:r>
      <w:r>
        <w:rPr>
          <w:color w:val="231F20"/>
          <w:spacing w:val="80"/>
        </w:rPr>
        <w:t> </w:t>
      </w:r>
      <w:r>
        <w:rPr>
          <w:color w:val="231F20"/>
        </w:rPr>
        <w:t>Notice of the Ministry of Finance, the State Administration of Taxation and the China Securities Regulatory</w:t>
      </w:r>
      <w:r>
        <w:rPr>
          <w:color w:val="231F20"/>
          <w:spacing w:val="40"/>
        </w:rPr>
        <w:t> </w:t>
      </w:r>
      <w:r>
        <w:rPr>
          <w:color w:val="231F20"/>
        </w:rPr>
        <w:t>Commission</w:t>
      </w:r>
      <w:r>
        <w:rPr>
          <w:color w:val="231F20"/>
          <w:spacing w:val="40"/>
        </w:rPr>
        <w:t> </w:t>
      </w:r>
      <w:r>
        <w:rPr>
          <w:color w:val="231F20"/>
        </w:rPr>
        <w:t>on</w:t>
      </w:r>
      <w:r>
        <w:rPr>
          <w:color w:val="231F20"/>
          <w:spacing w:val="40"/>
        </w:rPr>
        <w:t> </w:t>
      </w:r>
      <w:r>
        <w:rPr>
          <w:color w:val="231F20"/>
        </w:rPr>
        <w:t>the</w:t>
      </w:r>
      <w:r>
        <w:rPr>
          <w:color w:val="231F20"/>
          <w:spacing w:val="40"/>
        </w:rPr>
        <w:t> </w:t>
      </w:r>
      <w:r>
        <w:rPr>
          <w:color w:val="231F20"/>
        </w:rPr>
        <w:t>Tax</w:t>
      </w:r>
      <w:r>
        <w:rPr>
          <w:color w:val="231F20"/>
          <w:spacing w:val="40"/>
        </w:rPr>
        <w:t> </w:t>
      </w:r>
      <w:r>
        <w:rPr>
          <w:color w:val="231F20"/>
        </w:rPr>
        <w:t>Policies</w:t>
      </w:r>
      <w:r>
        <w:rPr>
          <w:color w:val="231F20"/>
          <w:spacing w:val="40"/>
        </w:rPr>
        <w:t> </w:t>
      </w:r>
      <w:r>
        <w:rPr>
          <w:color w:val="231F20"/>
        </w:rPr>
        <w:t>Related</w:t>
      </w:r>
      <w:r>
        <w:rPr>
          <w:color w:val="231F20"/>
          <w:spacing w:val="40"/>
        </w:rPr>
        <w:t> </w:t>
      </w:r>
      <w:r>
        <w:rPr>
          <w:color w:val="231F20"/>
        </w:rPr>
        <w:t>to</w:t>
      </w:r>
      <w:r>
        <w:rPr>
          <w:color w:val="231F20"/>
          <w:spacing w:val="40"/>
        </w:rPr>
        <w:t> </w:t>
      </w:r>
      <w:r>
        <w:rPr>
          <w:color w:val="231F20"/>
        </w:rPr>
        <w:t>the</w:t>
      </w:r>
      <w:r>
        <w:rPr>
          <w:color w:val="231F20"/>
          <w:spacing w:val="40"/>
        </w:rPr>
        <w:t> </w:t>
      </w:r>
      <w:r>
        <w:rPr>
          <w:color w:val="231F20"/>
        </w:rPr>
        <w:t>Pilot</w:t>
      </w:r>
      <w:r>
        <w:rPr>
          <w:color w:val="231F20"/>
          <w:spacing w:val="40"/>
        </w:rPr>
        <w:t> </w:t>
      </w:r>
      <w:r>
        <w:rPr>
          <w:color w:val="231F20"/>
        </w:rPr>
        <w:t>Programme</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Shanghai-Hong Kong Stock Connect (Cai Shui [2014] No. 81) and the Notice on the Tax Policies Related to the Pilot Programme of the Shenzhen-Hong Kong Stock Connect (Cai Shui [2016] No. 127). For dividend and bonus income received by domestic enterprise investors from investing in shares listed on the Hong</w:t>
      </w:r>
      <w:r>
        <w:rPr>
          <w:color w:val="231F20"/>
          <w:spacing w:val="80"/>
          <w:w w:val="150"/>
        </w:rPr>
        <w:t> </w:t>
      </w:r>
      <w:r>
        <w:rPr>
          <w:color w:val="231F20"/>
        </w:rPr>
        <w:t>Kong Stock Exchange through Shanghai-Hong Kong Stock Connect or Shenzhen-Hong Kong Stock Connect, the H-share companies shall not withhold income tax on dividends and bonuses, and the enterprises</w:t>
      </w:r>
      <w:r>
        <w:rPr>
          <w:color w:val="231F20"/>
          <w:spacing w:val="40"/>
        </w:rPr>
        <w:t> </w:t>
      </w:r>
      <w:r>
        <w:rPr>
          <w:color w:val="231F20"/>
        </w:rPr>
        <w:t>shall</w:t>
      </w:r>
      <w:r>
        <w:rPr>
          <w:color w:val="231F20"/>
          <w:spacing w:val="40"/>
        </w:rPr>
        <w:t> </w:t>
      </w:r>
      <w:r>
        <w:rPr>
          <w:color w:val="231F20"/>
        </w:rPr>
        <w:t>report</w:t>
      </w:r>
      <w:r>
        <w:rPr>
          <w:color w:val="231F20"/>
          <w:spacing w:val="40"/>
        </w:rPr>
        <w:t> </w:t>
      </w:r>
      <w:r>
        <w:rPr>
          <w:color w:val="231F20"/>
        </w:rPr>
        <w:t>and</w:t>
      </w:r>
      <w:r>
        <w:rPr>
          <w:color w:val="231F20"/>
          <w:spacing w:val="40"/>
        </w:rPr>
        <w:t> </w:t>
      </w:r>
      <w:r>
        <w:rPr>
          <w:color w:val="231F20"/>
        </w:rPr>
        <w:t>pay</w:t>
      </w:r>
      <w:r>
        <w:rPr>
          <w:color w:val="231F20"/>
          <w:spacing w:val="40"/>
        </w:rPr>
        <w:t> </w:t>
      </w:r>
      <w:r>
        <w:rPr>
          <w:color w:val="231F20"/>
        </w:rPr>
        <w:t>the</w:t>
      </w:r>
      <w:r>
        <w:rPr>
          <w:color w:val="231F20"/>
          <w:spacing w:val="40"/>
        </w:rPr>
        <w:t> </w:t>
      </w:r>
      <w:r>
        <w:rPr>
          <w:color w:val="231F20"/>
        </w:rPr>
        <w:t>income</w:t>
      </w:r>
      <w:r>
        <w:rPr>
          <w:color w:val="231F20"/>
          <w:spacing w:val="40"/>
        </w:rPr>
        <w:t> </w:t>
      </w:r>
      <w:r>
        <w:rPr>
          <w:color w:val="231F20"/>
        </w:rPr>
        <w:t>tax</w:t>
      </w:r>
      <w:r>
        <w:rPr>
          <w:color w:val="231F20"/>
          <w:spacing w:val="40"/>
        </w:rPr>
        <w:t> </w:t>
      </w:r>
      <w:r>
        <w:rPr>
          <w:color w:val="231F20"/>
        </w:rPr>
        <w:t>themselves.</w:t>
      </w:r>
    </w:p>
    <w:p>
      <w:pPr>
        <w:pStyle w:val="BodyText"/>
        <w:spacing w:before="6"/>
      </w:pPr>
    </w:p>
    <w:p>
      <w:pPr>
        <w:pStyle w:val="BodyText"/>
        <w:spacing w:line="280" w:lineRule="exact"/>
        <w:ind w:left="708" w:right="128" w:firstLine="567"/>
        <w:jc w:val="both"/>
      </w:pPr>
      <w:r>
        <w:rPr>
          <w:color w:val="231F20"/>
        </w:rPr>
        <w:t>For</w:t>
      </w:r>
      <w:r>
        <w:rPr>
          <w:color w:val="231F20"/>
          <w:spacing w:val="40"/>
        </w:rPr>
        <w:t> </w:t>
      </w:r>
      <w:r>
        <w:rPr>
          <w:color w:val="231F20"/>
        </w:rPr>
        <w:t>the</w:t>
      </w:r>
      <w:r>
        <w:rPr>
          <w:color w:val="231F20"/>
          <w:spacing w:val="40"/>
        </w:rPr>
        <w:t> </w:t>
      </w:r>
      <w:r>
        <w:rPr>
          <w:color w:val="231F20"/>
        </w:rPr>
        <w:t>non-resident</w:t>
      </w:r>
      <w:r>
        <w:rPr>
          <w:color w:val="231F20"/>
          <w:spacing w:val="40"/>
        </w:rPr>
        <w:t> </w:t>
      </w:r>
      <w:r>
        <w:rPr>
          <w:color w:val="231F20"/>
        </w:rPr>
        <w:t>enterprise</w:t>
      </w:r>
      <w:r>
        <w:rPr>
          <w:color w:val="231F20"/>
          <w:spacing w:val="40"/>
        </w:rPr>
        <w:t> </w:t>
      </w:r>
      <w:r>
        <w:rPr>
          <w:color w:val="231F20"/>
        </w:rPr>
        <w:t>Shareholders</w:t>
      </w:r>
      <w:r>
        <w:rPr>
          <w:color w:val="231F20"/>
          <w:spacing w:val="20"/>
        </w:rPr>
        <w:t>, </w:t>
      </w:r>
      <w:r>
        <w:rPr>
          <w:color w:val="231F20"/>
        </w:rPr>
        <w:t>pursuant</w:t>
      </w:r>
      <w:r>
        <w:rPr>
          <w:color w:val="231F20"/>
          <w:spacing w:val="40"/>
        </w:rPr>
        <w:t> </w:t>
      </w:r>
      <w:r>
        <w:rPr>
          <w:color w:val="231F20"/>
        </w:rPr>
        <w:t>to</w:t>
      </w:r>
      <w:r>
        <w:rPr>
          <w:color w:val="231F20"/>
          <w:spacing w:val="40"/>
        </w:rPr>
        <w:t> </w:t>
      </w:r>
      <w:r>
        <w:rPr>
          <w:color w:val="231F20"/>
        </w:rPr>
        <w:t>the</w:t>
      </w:r>
      <w:r>
        <w:rPr>
          <w:color w:val="231F20"/>
          <w:spacing w:val="40"/>
        </w:rPr>
        <w:t> </w:t>
      </w:r>
      <w:r>
        <w:rPr>
          <w:color w:val="231F20"/>
        </w:rPr>
        <w:t>provisions</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Enterprise Income</w:t>
      </w:r>
      <w:r>
        <w:rPr>
          <w:color w:val="231F20"/>
          <w:spacing w:val="31"/>
        </w:rPr>
        <w:t> </w:t>
      </w:r>
      <w:r>
        <w:rPr>
          <w:color w:val="231F20"/>
        </w:rPr>
        <w:t>Tax</w:t>
      </w:r>
      <w:r>
        <w:rPr>
          <w:color w:val="231F20"/>
          <w:spacing w:val="31"/>
        </w:rPr>
        <w:t> </w:t>
      </w:r>
      <w:r>
        <w:rPr>
          <w:color w:val="231F20"/>
        </w:rPr>
        <w:t>Law</w:t>
      </w:r>
      <w:r>
        <w:rPr>
          <w:color w:val="231F20"/>
          <w:spacing w:val="31"/>
        </w:rPr>
        <w:t> </w:t>
      </w:r>
      <w:r>
        <w:rPr>
          <w:color w:val="231F20"/>
        </w:rPr>
        <w:t>of</w:t>
      </w:r>
      <w:r>
        <w:rPr>
          <w:color w:val="231F20"/>
          <w:spacing w:val="31"/>
        </w:rPr>
        <w:t> </w:t>
      </w:r>
      <w:r>
        <w:rPr>
          <w:color w:val="231F20"/>
        </w:rPr>
        <w:t>the</w:t>
      </w:r>
      <w:r>
        <w:rPr>
          <w:color w:val="231F20"/>
          <w:spacing w:val="31"/>
        </w:rPr>
        <w:t> </w:t>
      </w:r>
      <w:r>
        <w:rPr>
          <w:color w:val="231F20"/>
        </w:rPr>
        <w:t>People’s</w:t>
      </w:r>
      <w:r>
        <w:rPr>
          <w:color w:val="231F20"/>
          <w:spacing w:val="31"/>
        </w:rPr>
        <w:t> </w:t>
      </w:r>
      <w:r>
        <w:rPr>
          <w:color w:val="231F20"/>
        </w:rPr>
        <w:t>Republic</w:t>
      </w:r>
      <w:r>
        <w:rPr>
          <w:color w:val="231F20"/>
          <w:spacing w:val="31"/>
        </w:rPr>
        <w:t> </w:t>
      </w:r>
      <w:r>
        <w:rPr>
          <w:color w:val="231F20"/>
        </w:rPr>
        <w:t>of</w:t>
      </w:r>
      <w:r>
        <w:rPr>
          <w:color w:val="231F20"/>
          <w:spacing w:val="31"/>
        </w:rPr>
        <w:t> </w:t>
      </w:r>
      <w:r>
        <w:rPr>
          <w:color w:val="231F20"/>
        </w:rPr>
        <w:t>China</w:t>
      </w:r>
      <w:r>
        <w:rPr>
          <w:color w:val="231F20"/>
          <w:spacing w:val="31"/>
        </w:rPr>
        <w:t> </w:t>
      </w:r>
      <w:r>
        <w:rPr>
          <w:color w:val="231F20"/>
        </w:rPr>
        <w:t>amended</w:t>
      </w:r>
      <w:r>
        <w:rPr>
          <w:color w:val="231F20"/>
          <w:spacing w:val="31"/>
        </w:rPr>
        <w:t> </w:t>
      </w:r>
      <w:r>
        <w:rPr>
          <w:color w:val="231F20"/>
        </w:rPr>
        <w:t>in</w:t>
      </w:r>
      <w:r>
        <w:rPr>
          <w:color w:val="231F20"/>
          <w:spacing w:val="31"/>
        </w:rPr>
        <w:t> </w:t>
      </w:r>
      <w:r>
        <w:rPr>
          <w:color w:val="231F20"/>
        </w:rPr>
        <w:t>2018</w:t>
      </w:r>
      <w:r>
        <w:rPr>
          <w:color w:val="231F20"/>
          <w:spacing w:val="31"/>
        </w:rPr>
        <w:t> </w:t>
      </w:r>
      <w:r>
        <w:rPr>
          <w:color w:val="231F20"/>
        </w:rPr>
        <w:t>and</w:t>
      </w:r>
      <w:r>
        <w:rPr>
          <w:color w:val="231F20"/>
          <w:spacing w:val="31"/>
        </w:rPr>
        <w:t> </w:t>
      </w:r>
      <w:r>
        <w:rPr>
          <w:color w:val="231F20"/>
        </w:rPr>
        <w:t>the</w:t>
      </w:r>
      <w:r>
        <w:rPr>
          <w:color w:val="231F20"/>
          <w:spacing w:val="31"/>
        </w:rPr>
        <w:t> </w:t>
      </w:r>
      <w:r>
        <w:rPr>
          <w:color w:val="231F20"/>
        </w:rPr>
        <w:t>Implementation</w:t>
      </w:r>
      <w:r>
        <w:rPr>
          <w:color w:val="231F20"/>
          <w:spacing w:val="31"/>
        </w:rPr>
        <w:t> </w:t>
      </w:r>
      <w:r>
        <w:rPr>
          <w:color w:val="231F20"/>
        </w:rPr>
        <w:t>Rules of the Enterprise Income Tax Law of the People’s Republic of China amended in 2025 (hereinafter collectively referred to as the “Enterprise Income Tax Law” (</w:t>
      </w:r>
      <w:r>
        <w:rPr>
          <w:rFonts w:ascii="新細明體" w:hAnsi="新細明體" w:eastAsia="新細明體"/>
          <w:color w:val="231F20"/>
        </w:rPr>
        <w:t>《企業所得稅法》</w:t>
      </w:r>
      <w:r>
        <w:rPr>
          <w:color w:val="231F20"/>
        </w:rPr>
        <w:t>)) and other relevant</w:t>
      </w:r>
      <w:r>
        <w:rPr>
          <w:color w:val="231F20"/>
          <w:spacing w:val="40"/>
        </w:rPr>
        <w:t> </w:t>
      </w:r>
      <w:r>
        <w:rPr>
          <w:color w:val="231F20"/>
        </w:rPr>
        <w:t>laws and regulations, from January 1, 2008, where a PRC domestic enterprise distributes dividends to</w:t>
      </w:r>
      <w:r>
        <w:rPr>
          <w:color w:val="231F20"/>
          <w:spacing w:val="40"/>
        </w:rPr>
        <w:t> </w:t>
      </w:r>
      <w:r>
        <w:rPr>
          <w:color w:val="231F20"/>
        </w:rPr>
        <w:t>non-resident</w:t>
      </w:r>
      <w:r>
        <w:rPr>
          <w:color w:val="231F20"/>
          <w:spacing w:val="37"/>
        </w:rPr>
        <w:t> </w:t>
      </w:r>
      <w:r>
        <w:rPr>
          <w:color w:val="231F20"/>
        </w:rPr>
        <w:t>enterprise</w:t>
      </w:r>
      <w:r>
        <w:rPr>
          <w:color w:val="231F20"/>
          <w:spacing w:val="37"/>
        </w:rPr>
        <w:t> </w:t>
      </w:r>
      <w:r>
        <w:rPr>
          <w:color w:val="231F20"/>
        </w:rPr>
        <w:t>shareholders</w:t>
      </w:r>
      <w:r>
        <w:rPr>
          <w:color w:val="231F20"/>
          <w:spacing w:val="18"/>
        </w:rPr>
        <w:t> (</w:t>
      </w:r>
      <w:r>
        <w:rPr>
          <w:color w:val="231F20"/>
        </w:rPr>
        <w:t>i.e</w:t>
      </w:r>
      <w:r>
        <w:rPr>
          <w:color w:val="231F20"/>
          <w:spacing w:val="18"/>
        </w:rPr>
        <w:t>. </w:t>
      </w:r>
      <w:r>
        <w:rPr>
          <w:color w:val="231F20"/>
        </w:rPr>
        <w:t>legal</w:t>
      </w:r>
      <w:r>
        <w:rPr>
          <w:color w:val="231F20"/>
          <w:spacing w:val="37"/>
        </w:rPr>
        <w:t> </w:t>
      </w:r>
      <w:r>
        <w:rPr>
          <w:color w:val="231F20"/>
        </w:rPr>
        <w:t>person</w:t>
      </w:r>
      <w:r>
        <w:rPr>
          <w:color w:val="231F20"/>
          <w:spacing w:val="37"/>
        </w:rPr>
        <w:t> </w:t>
      </w:r>
      <w:r>
        <w:rPr>
          <w:color w:val="231F20"/>
        </w:rPr>
        <w:t>shareholders</w:t>
      </w:r>
      <w:r>
        <w:rPr>
          <w:color w:val="231F20"/>
          <w:spacing w:val="18"/>
        </w:rPr>
        <w:t>) </w:t>
      </w:r>
      <w:r>
        <w:rPr>
          <w:color w:val="231F20"/>
        </w:rPr>
        <w:t>for</w:t>
      </w:r>
      <w:r>
        <w:rPr>
          <w:color w:val="231F20"/>
          <w:spacing w:val="36"/>
        </w:rPr>
        <w:t> </w:t>
      </w:r>
      <w:r>
        <w:rPr>
          <w:color w:val="231F20"/>
        </w:rPr>
        <w:t>accounting</w:t>
      </w:r>
      <w:r>
        <w:rPr>
          <w:color w:val="231F20"/>
          <w:spacing w:val="37"/>
        </w:rPr>
        <w:t> </w:t>
      </w:r>
      <w:r>
        <w:rPr>
          <w:color w:val="231F20"/>
        </w:rPr>
        <w:t>periods</w:t>
      </w:r>
      <w:r>
        <w:rPr>
          <w:color w:val="231F20"/>
          <w:spacing w:val="37"/>
        </w:rPr>
        <w:t> </w:t>
      </w:r>
      <w:r>
        <w:rPr>
          <w:color w:val="231F20"/>
        </w:rPr>
        <w:t>beginning on January 1, 2008, the enterprise income tax shall be withheld and paid by the payer as the withholding agent. Therefore, the Company is required to withhold and pay 10% enterprise income tax when it distributes</w:t>
      </w:r>
      <w:r>
        <w:rPr>
          <w:color w:val="231F20"/>
          <w:spacing w:val="40"/>
        </w:rPr>
        <w:t> </w:t>
      </w:r>
      <w:r>
        <w:rPr>
          <w:color w:val="231F20"/>
        </w:rPr>
        <w:t>the</w:t>
      </w:r>
      <w:r>
        <w:rPr>
          <w:color w:val="231F20"/>
          <w:spacing w:val="40"/>
        </w:rPr>
        <w:t> </w:t>
      </w:r>
      <w:r>
        <w:rPr>
          <w:color w:val="231F20"/>
        </w:rPr>
        <w:t>2025</w:t>
      </w:r>
      <w:r>
        <w:rPr>
          <w:color w:val="231F20"/>
          <w:spacing w:val="40"/>
        </w:rPr>
        <w:t> </w:t>
      </w:r>
      <w:r>
        <w:rPr>
          <w:color w:val="231F20"/>
        </w:rPr>
        <w:t>Interim</w:t>
      </w:r>
      <w:r>
        <w:rPr>
          <w:color w:val="231F20"/>
          <w:spacing w:val="40"/>
        </w:rPr>
        <w:t> </w:t>
      </w:r>
      <w:r>
        <w:rPr>
          <w:color w:val="231F20"/>
        </w:rPr>
        <w:t>Dividend</w:t>
      </w:r>
      <w:r>
        <w:rPr>
          <w:color w:val="231F20"/>
          <w:spacing w:val="40"/>
        </w:rPr>
        <w:t> </w:t>
      </w:r>
      <w:r>
        <w:rPr>
          <w:color w:val="231F20"/>
        </w:rPr>
        <w:t>to</w:t>
      </w:r>
      <w:r>
        <w:rPr>
          <w:color w:val="231F20"/>
          <w:spacing w:val="40"/>
        </w:rPr>
        <w:t> </w:t>
      </w:r>
      <w:r>
        <w:rPr>
          <w:color w:val="231F20"/>
        </w:rPr>
        <w:t>non-resident</w:t>
      </w:r>
      <w:r>
        <w:rPr>
          <w:color w:val="231F20"/>
          <w:spacing w:val="40"/>
        </w:rPr>
        <w:t> </w:t>
      </w:r>
      <w:r>
        <w:rPr>
          <w:color w:val="231F20"/>
        </w:rPr>
        <w:t>enterprise</w:t>
      </w:r>
      <w:r>
        <w:rPr>
          <w:color w:val="231F20"/>
          <w:spacing w:val="40"/>
        </w:rPr>
        <w:t> </w:t>
      </w:r>
      <w:r>
        <w:rPr>
          <w:color w:val="231F20"/>
        </w:rPr>
        <w:t>holders</w:t>
      </w:r>
      <w:r>
        <w:rPr>
          <w:color w:val="231F20"/>
          <w:spacing w:val="40"/>
        </w:rPr>
        <w:t> </w:t>
      </w:r>
      <w:r>
        <w:rPr>
          <w:color w:val="231F20"/>
        </w:rPr>
        <w:t>of</w:t>
      </w:r>
      <w:r>
        <w:rPr>
          <w:color w:val="231F20"/>
          <w:spacing w:val="40"/>
        </w:rPr>
        <w:t> </w:t>
      </w:r>
      <w:r>
        <w:rPr>
          <w:color w:val="231F20"/>
        </w:rPr>
        <w:t>H</w:t>
      </w:r>
      <w:r>
        <w:rPr>
          <w:color w:val="231F20"/>
          <w:spacing w:val="40"/>
        </w:rPr>
        <w:t> </w:t>
      </w:r>
      <w:r>
        <w:rPr>
          <w:color w:val="231F20"/>
        </w:rPr>
        <w:t>Shares</w:t>
      </w:r>
      <w:r>
        <w:rPr>
          <w:color w:val="231F20"/>
          <w:spacing w:val="40"/>
        </w:rPr>
        <w:t> </w:t>
      </w:r>
      <w:r>
        <w:rPr>
          <w:color w:val="231F20"/>
        </w:rPr>
        <w:t>whose</w:t>
      </w:r>
      <w:r>
        <w:rPr>
          <w:color w:val="231F20"/>
          <w:spacing w:val="40"/>
        </w:rPr>
        <w:t> </w:t>
      </w:r>
      <w:r>
        <w:rPr>
          <w:color w:val="231F20"/>
        </w:rPr>
        <w:t>names appear on the register of members of the Company on the record date. In respect of all H Shareholders whose</w:t>
      </w:r>
      <w:r>
        <w:rPr>
          <w:color w:val="231F20"/>
          <w:spacing w:val="24"/>
        </w:rPr>
        <w:t> </w:t>
      </w:r>
      <w:r>
        <w:rPr>
          <w:color w:val="231F20"/>
        </w:rPr>
        <w:t>names</w:t>
      </w:r>
      <w:r>
        <w:rPr>
          <w:color w:val="231F20"/>
          <w:spacing w:val="25"/>
        </w:rPr>
        <w:t> </w:t>
      </w:r>
      <w:r>
        <w:rPr>
          <w:color w:val="231F20"/>
        </w:rPr>
        <w:t>appear</w:t>
      </w:r>
      <w:r>
        <w:rPr>
          <w:color w:val="231F20"/>
          <w:spacing w:val="25"/>
        </w:rPr>
        <w:t> </w:t>
      </w:r>
      <w:r>
        <w:rPr>
          <w:color w:val="231F20"/>
        </w:rPr>
        <w:t>on</w:t>
      </w:r>
      <w:r>
        <w:rPr>
          <w:color w:val="231F20"/>
          <w:spacing w:val="25"/>
        </w:rPr>
        <w:t> </w:t>
      </w:r>
      <w:r>
        <w:rPr>
          <w:color w:val="231F20"/>
        </w:rPr>
        <w:t>the</w:t>
      </w:r>
      <w:r>
        <w:rPr>
          <w:color w:val="231F20"/>
          <w:spacing w:val="25"/>
        </w:rPr>
        <w:t> </w:t>
      </w:r>
      <w:r>
        <w:rPr>
          <w:color w:val="231F20"/>
        </w:rPr>
        <w:t>H</w:t>
      </w:r>
      <w:r>
        <w:rPr>
          <w:color w:val="231F20"/>
          <w:spacing w:val="25"/>
        </w:rPr>
        <w:t> </w:t>
      </w:r>
      <w:r>
        <w:rPr>
          <w:color w:val="231F20"/>
        </w:rPr>
        <w:t>Share</w:t>
      </w:r>
      <w:r>
        <w:rPr>
          <w:color w:val="231F20"/>
          <w:spacing w:val="25"/>
        </w:rPr>
        <w:t> </w:t>
      </w:r>
      <w:r>
        <w:rPr>
          <w:color w:val="231F20"/>
        </w:rPr>
        <w:t>register</w:t>
      </w:r>
      <w:r>
        <w:rPr>
          <w:color w:val="231F20"/>
          <w:spacing w:val="25"/>
        </w:rPr>
        <w:t> </w:t>
      </w:r>
      <w:r>
        <w:rPr>
          <w:color w:val="231F20"/>
        </w:rPr>
        <w:t>of</w:t>
      </w:r>
      <w:r>
        <w:rPr>
          <w:color w:val="231F20"/>
          <w:spacing w:val="25"/>
        </w:rPr>
        <w:t> </w:t>
      </w:r>
      <w:r>
        <w:rPr>
          <w:color w:val="231F20"/>
        </w:rPr>
        <w:t>members</w:t>
      </w:r>
      <w:r>
        <w:rPr>
          <w:color w:val="231F20"/>
          <w:spacing w:val="25"/>
        </w:rPr>
        <w:t> </w:t>
      </w:r>
      <w:r>
        <w:rPr>
          <w:color w:val="231F20"/>
        </w:rPr>
        <w:t>as</w:t>
      </w:r>
      <w:r>
        <w:rPr>
          <w:color w:val="231F20"/>
          <w:spacing w:val="25"/>
        </w:rPr>
        <w:t> </w:t>
      </w:r>
      <w:r>
        <w:rPr>
          <w:color w:val="231F20"/>
        </w:rPr>
        <w:t>at</w:t>
      </w:r>
      <w:r>
        <w:rPr>
          <w:color w:val="231F20"/>
          <w:spacing w:val="25"/>
        </w:rPr>
        <w:t> </w:t>
      </w:r>
      <w:r>
        <w:rPr>
          <w:color w:val="231F20"/>
        </w:rPr>
        <w:t>the</w:t>
      </w:r>
      <w:r>
        <w:rPr>
          <w:color w:val="231F20"/>
          <w:spacing w:val="25"/>
        </w:rPr>
        <w:t> </w:t>
      </w:r>
      <w:r>
        <w:rPr>
          <w:color w:val="231F20"/>
        </w:rPr>
        <w:t>record</w:t>
      </w:r>
      <w:r>
        <w:rPr>
          <w:color w:val="231F20"/>
          <w:spacing w:val="25"/>
        </w:rPr>
        <w:t> </w:t>
      </w:r>
      <w:r>
        <w:rPr>
          <w:color w:val="231F20"/>
        </w:rPr>
        <w:t>date</w:t>
      </w:r>
      <w:r>
        <w:rPr>
          <w:color w:val="231F20"/>
          <w:spacing w:val="25"/>
        </w:rPr>
        <w:t> </w:t>
      </w:r>
      <w:r>
        <w:rPr>
          <w:color w:val="231F20"/>
        </w:rPr>
        <w:t>who</w:t>
      </w:r>
      <w:r>
        <w:rPr>
          <w:color w:val="231F20"/>
          <w:spacing w:val="25"/>
        </w:rPr>
        <w:t> </w:t>
      </w:r>
      <w:r>
        <w:rPr>
          <w:color w:val="231F20"/>
        </w:rPr>
        <w:t>are</w:t>
      </w:r>
      <w:r>
        <w:rPr>
          <w:color w:val="231F20"/>
          <w:spacing w:val="25"/>
        </w:rPr>
        <w:t> </w:t>
      </w:r>
      <w:r>
        <w:rPr>
          <w:color w:val="231F20"/>
        </w:rPr>
        <w:t>not</w:t>
      </w:r>
      <w:r>
        <w:rPr>
          <w:color w:val="231F20"/>
          <w:spacing w:val="25"/>
        </w:rPr>
        <w:t> </w:t>
      </w:r>
      <w:r>
        <w:rPr>
          <w:color w:val="231F20"/>
        </w:rPr>
        <w:t>registered as individuals (including HKSCC Nominees Limited, other corporate nominees or trustees, and other entities or organisations, which are all considered as non-resident enterprise shareholders), the Company shall</w:t>
      </w:r>
      <w:r>
        <w:rPr>
          <w:color w:val="231F20"/>
          <w:spacing w:val="40"/>
        </w:rPr>
        <w:t> </w:t>
      </w:r>
      <w:r>
        <w:rPr>
          <w:color w:val="231F20"/>
        </w:rPr>
        <w:t>distribute</w:t>
      </w:r>
      <w:r>
        <w:rPr>
          <w:color w:val="231F20"/>
          <w:spacing w:val="40"/>
        </w:rPr>
        <w:t> </w:t>
      </w:r>
      <w:r>
        <w:rPr>
          <w:color w:val="231F20"/>
        </w:rPr>
        <w:t>the</w:t>
      </w:r>
      <w:r>
        <w:rPr>
          <w:color w:val="231F20"/>
          <w:spacing w:val="40"/>
        </w:rPr>
        <w:t> </w:t>
      </w:r>
      <w:r>
        <w:rPr>
          <w:color w:val="231F20"/>
        </w:rPr>
        <w:t>2025</w:t>
      </w:r>
      <w:r>
        <w:rPr>
          <w:color w:val="231F20"/>
          <w:spacing w:val="40"/>
        </w:rPr>
        <w:t> </w:t>
      </w:r>
      <w:r>
        <w:rPr>
          <w:color w:val="231F20"/>
        </w:rPr>
        <w:t>Interim</w:t>
      </w:r>
      <w:r>
        <w:rPr>
          <w:color w:val="231F20"/>
          <w:spacing w:val="40"/>
        </w:rPr>
        <w:t> </w:t>
      </w:r>
      <w:r>
        <w:rPr>
          <w:color w:val="231F20"/>
        </w:rPr>
        <w:t>Dividend</w:t>
      </w:r>
      <w:r>
        <w:rPr>
          <w:color w:val="231F20"/>
          <w:spacing w:val="40"/>
        </w:rPr>
        <w:t> </w:t>
      </w:r>
      <w:r>
        <w:rPr>
          <w:color w:val="231F20"/>
        </w:rPr>
        <w:t>after</w:t>
      </w:r>
      <w:r>
        <w:rPr>
          <w:color w:val="231F20"/>
          <w:spacing w:val="40"/>
        </w:rPr>
        <w:t> </w:t>
      </w:r>
      <w:r>
        <w:rPr>
          <w:color w:val="231F20"/>
        </w:rPr>
        <w:t>deducting</w:t>
      </w:r>
      <w:r>
        <w:rPr>
          <w:color w:val="231F20"/>
          <w:spacing w:val="40"/>
        </w:rPr>
        <w:t> </w:t>
      </w:r>
      <w:r>
        <w:rPr>
          <w:color w:val="231F20"/>
        </w:rPr>
        <w:t>10</w:t>
      </w:r>
      <w:r>
        <w:rPr>
          <w:color w:val="231F20"/>
          <w:spacing w:val="20"/>
        </w:rPr>
        <w:t>% </w:t>
      </w:r>
      <w:r>
        <w:rPr>
          <w:color w:val="231F20"/>
        </w:rPr>
        <w:t>income</w:t>
      </w:r>
      <w:r>
        <w:rPr>
          <w:color w:val="231F20"/>
          <w:spacing w:val="40"/>
        </w:rPr>
        <w:t> </w:t>
      </w:r>
      <w:r>
        <w:rPr>
          <w:color w:val="231F20"/>
        </w:rPr>
        <w:t>tax.</w:t>
      </w:r>
    </w:p>
    <w:p>
      <w:pPr>
        <w:pStyle w:val="BodyText"/>
        <w:spacing w:before="87"/>
      </w:pPr>
    </w:p>
    <w:p>
      <w:pPr>
        <w:pStyle w:val="BodyText"/>
        <w:spacing w:line="292" w:lineRule="auto"/>
        <w:ind w:left="708" w:right="134" w:firstLine="567"/>
        <w:jc w:val="both"/>
      </w:pPr>
      <w:r>
        <w:rPr>
          <w:color w:val="231F20"/>
        </w:rPr>
        <w:t>Shareholders shall pay relevant taxes and/or enjoy tax relief in accordance with the above provisions. Shareholders are recommended to consult their tax advisors regarding the tax impacts for holding and disposal of H Shares.</w:t>
      </w:r>
    </w:p>
    <w:p>
      <w:pPr>
        <w:pStyle w:val="BodyText"/>
        <w:spacing w:after="0" w:line="292" w:lineRule="auto"/>
        <w:jc w:val="both"/>
        <w:sectPr>
          <w:pgSz w:w="11910" w:h="15880"/>
          <w:pgMar w:header="567" w:footer="573" w:top="1300" w:bottom="760" w:left="1275" w:right="1275"/>
        </w:sectPr>
      </w:pPr>
    </w:p>
    <w:p>
      <w:pPr>
        <w:pStyle w:val="BodyText"/>
        <w:spacing w:before="107"/>
      </w:pPr>
    </w:p>
    <w:p>
      <w:pPr>
        <w:pStyle w:val="BodyText"/>
        <w:spacing w:line="280" w:lineRule="exact"/>
        <w:ind w:left="142" w:right="128" w:firstLine="567"/>
        <w:jc w:val="both"/>
      </w:pPr>
      <w:r>
        <w:rPr>
          <w:color w:val="231F20"/>
        </w:rPr>
        <w:t>The</w:t>
      </w:r>
      <w:r>
        <w:rPr>
          <w:color w:val="231F20"/>
          <w:spacing w:val="20"/>
        </w:rPr>
        <w:t> </w:t>
      </w:r>
      <w:r>
        <w:rPr>
          <w:color w:val="231F20"/>
        </w:rPr>
        <w:t>Company’s</w:t>
      </w:r>
      <w:r>
        <w:rPr>
          <w:color w:val="231F20"/>
          <w:spacing w:val="20"/>
        </w:rPr>
        <w:t> </w:t>
      </w:r>
      <w:r>
        <w:rPr>
          <w:color w:val="231F20"/>
        </w:rPr>
        <w:t>profit</w:t>
      </w:r>
      <w:r>
        <w:rPr>
          <w:color w:val="231F20"/>
          <w:spacing w:val="20"/>
        </w:rPr>
        <w:t> </w:t>
      </w:r>
      <w:r>
        <w:rPr>
          <w:color w:val="231F20"/>
        </w:rPr>
        <w:t>distribution</w:t>
      </w:r>
      <w:r>
        <w:rPr>
          <w:color w:val="231F20"/>
          <w:spacing w:val="20"/>
        </w:rPr>
        <w:t> </w:t>
      </w:r>
      <w:r>
        <w:rPr>
          <w:color w:val="231F20"/>
        </w:rPr>
        <w:t>plan</w:t>
      </w:r>
      <w:r>
        <w:rPr>
          <w:color w:val="231F20"/>
          <w:spacing w:val="20"/>
        </w:rPr>
        <w:t> </w:t>
      </w:r>
      <w:r>
        <w:rPr>
          <w:color w:val="231F20"/>
        </w:rPr>
        <w:t>for</w:t>
      </w:r>
      <w:r>
        <w:rPr>
          <w:color w:val="231F20"/>
          <w:spacing w:val="20"/>
        </w:rPr>
        <w:t> </w:t>
      </w:r>
      <w:r>
        <w:rPr>
          <w:color w:val="231F20"/>
        </w:rPr>
        <w:t>the</w:t>
      </w:r>
      <w:r>
        <w:rPr>
          <w:color w:val="231F20"/>
          <w:spacing w:val="20"/>
        </w:rPr>
        <w:t> </w:t>
      </w:r>
      <w:r>
        <w:rPr>
          <w:color w:val="231F20"/>
        </w:rPr>
        <w:t>first</w:t>
      </w:r>
      <w:r>
        <w:rPr>
          <w:color w:val="231F20"/>
          <w:spacing w:val="20"/>
        </w:rPr>
        <w:t> </w:t>
      </w:r>
      <w:r>
        <w:rPr>
          <w:color w:val="231F20"/>
        </w:rPr>
        <w:t>half</w:t>
      </w:r>
      <w:r>
        <w:rPr>
          <w:color w:val="231F20"/>
          <w:spacing w:val="20"/>
        </w:rPr>
        <w:t> </w:t>
      </w:r>
      <w:r>
        <w:rPr>
          <w:color w:val="231F20"/>
        </w:rPr>
        <w:t>of</w:t>
      </w:r>
      <w:r>
        <w:rPr>
          <w:color w:val="231F20"/>
          <w:spacing w:val="20"/>
        </w:rPr>
        <w:t> </w:t>
      </w:r>
      <w:r>
        <w:rPr>
          <w:color w:val="231F20"/>
        </w:rPr>
        <w:t>2025</w:t>
      </w:r>
      <w:r>
        <w:rPr>
          <w:color w:val="231F20"/>
          <w:spacing w:val="20"/>
        </w:rPr>
        <w:t> </w:t>
      </w:r>
      <w:r>
        <w:rPr>
          <w:color w:val="231F20"/>
        </w:rPr>
        <w:t>complies</w:t>
      </w:r>
      <w:r>
        <w:rPr>
          <w:color w:val="231F20"/>
          <w:spacing w:val="20"/>
        </w:rPr>
        <w:t> </w:t>
      </w:r>
      <w:r>
        <w:rPr>
          <w:color w:val="231F20"/>
        </w:rPr>
        <w:t>with</w:t>
      </w:r>
      <w:r>
        <w:rPr>
          <w:color w:val="231F20"/>
          <w:spacing w:val="20"/>
        </w:rPr>
        <w:t> </w:t>
      </w:r>
      <w:r>
        <w:rPr>
          <w:color w:val="231F20"/>
        </w:rPr>
        <w:t>the</w:t>
      </w:r>
      <w:r>
        <w:rPr>
          <w:color w:val="231F20"/>
          <w:spacing w:val="20"/>
        </w:rPr>
        <w:t> </w:t>
      </w:r>
      <w:r>
        <w:rPr>
          <w:color w:val="231F20"/>
        </w:rPr>
        <w:t>relevant</w:t>
      </w:r>
      <w:r>
        <w:rPr>
          <w:color w:val="231F20"/>
          <w:spacing w:val="20"/>
        </w:rPr>
        <w:t> </w:t>
      </w:r>
      <w:r>
        <w:rPr>
          <w:color w:val="231F20"/>
        </w:rPr>
        <w:t>provisions of</w:t>
      </w:r>
      <w:r>
        <w:rPr>
          <w:color w:val="231F20"/>
          <w:spacing w:val="38"/>
        </w:rPr>
        <w:t> </w:t>
      </w:r>
      <w:r>
        <w:rPr>
          <w:color w:val="231F20"/>
        </w:rPr>
        <w:t>the</w:t>
      </w:r>
      <w:r>
        <w:rPr>
          <w:color w:val="231F20"/>
          <w:spacing w:val="38"/>
        </w:rPr>
        <w:t> </w:t>
      </w:r>
      <w:r>
        <w:rPr>
          <w:color w:val="231F20"/>
        </w:rPr>
        <w:t>company</w:t>
      </w:r>
      <w:r>
        <w:rPr>
          <w:color w:val="231F20"/>
          <w:spacing w:val="38"/>
        </w:rPr>
        <w:t> </w:t>
      </w:r>
      <w:r>
        <w:rPr>
          <w:color w:val="231F20"/>
        </w:rPr>
        <w:t>law</w:t>
      </w:r>
      <w:r>
        <w:rPr>
          <w:color w:val="231F20"/>
          <w:spacing w:val="38"/>
        </w:rPr>
        <w:t> </w:t>
      </w:r>
      <w:r>
        <w:rPr>
          <w:color w:val="231F20"/>
        </w:rPr>
        <w:t>of</w:t>
      </w:r>
      <w:r>
        <w:rPr>
          <w:color w:val="231F20"/>
          <w:spacing w:val="38"/>
        </w:rPr>
        <w:t> </w:t>
      </w:r>
      <w:r>
        <w:rPr>
          <w:color w:val="231F20"/>
        </w:rPr>
        <w:t>the</w:t>
      </w:r>
      <w:r>
        <w:rPr>
          <w:color w:val="231F20"/>
          <w:spacing w:val="38"/>
        </w:rPr>
        <w:t> </w:t>
      </w:r>
      <w:r>
        <w:rPr>
          <w:color w:val="231F20"/>
        </w:rPr>
        <w:t>PRC</w:t>
      </w:r>
      <w:r>
        <w:rPr>
          <w:color w:val="231F20"/>
          <w:spacing w:val="19"/>
        </w:rPr>
        <w:t>, </w:t>
      </w:r>
      <w:r>
        <w:rPr>
          <w:color w:val="231F20"/>
        </w:rPr>
        <w:t>the</w:t>
      </w:r>
      <w:r>
        <w:rPr>
          <w:color w:val="231F20"/>
          <w:spacing w:val="38"/>
        </w:rPr>
        <w:t> </w:t>
      </w:r>
      <w:r>
        <w:rPr>
          <w:color w:val="231F20"/>
        </w:rPr>
        <w:t>Notice</w:t>
      </w:r>
      <w:r>
        <w:rPr>
          <w:color w:val="231F20"/>
          <w:spacing w:val="38"/>
        </w:rPr>
        <w:t> </w:t>
      </w:r>
      <w:r>
        <w:rPr>
          <w:color w:val="231F20"/>
        </w:rPr>
        <w:t>on</w:t>
      </w:r>
      <w:r>
        <w:rPr>
          <w:color w:val="231F20"/>
          <w:spacing w:val="38"/>
        </w:rPr>
        <w:t> </w:t>
      </w:r>
      <w:r>
        <w:rPr>
          <w:color w:val="231F20"/>
        </w:rPr>
        <w:t>Further</w:t>
      </w:r>
      <w:r>
        <w:rPr>
          <w:color w:val="231F20"/>
          <w:spacing w:val="38"/>
        </w:rPr>
        <w:t> </w:t>
      </w:r>
      <w:r>
        <w:rPr>
          <w:color w:val="231F20"/>
        </w:rPr>
        <w:t>Implementing</w:t>
      </w:r>
      <w:r>
        <w:rPr>
          <w:color w:val="231F20"/>
          <w:spacing w:val="38"/>
        </w:rPr>
        <w:t> </w:t>
      </w:r>
      <w:r>
        <w:rPr>
          <w:color w:val="231F20"/>
        </w:rPr>
        <w:t>Matters</w:t>
      </w:r>
      <w:r>
        <w:rPr>
          <w:color w:val="231F20"/>
          <w:spacing w:val="38"/>
        </w:rPr>
        <w:t> </w:t>
      </w:r>
      <w:r>
        <w:rPr>
          <w:color w:val="231F20"/>
        </w:rPr>
        <w:t>Concerning</w:t>
      </w:r>
      <w:r>
        <w:rPr>
          <w:color w:val="231F20"/>
          <w:spacing w:val="38"/>
        </w:rPr>
        <w:t> </w:t>
      </w:r>
      <w:r>
        <w:rPr>
          <w:color w:val="231F20"/>
        </w:rPr>
        <w:t>Cash</w:t>
      </w:r>
      <w:r>
        <w:rPr>
          <w:color w:val="231F20"/>
          <w:spacing w:val="38"/>
        </w:rPr>
        <w:t> </w:t>
      </w:r>
      <w:r>
        <w:rPr>
          <w:color w:val="231F20"/>
        </w:rPr>
        <w:t>Dividends by Listed Companies (</w:t>
      </w:r>
      <w:r>
        <w:rPr>
          <w:rFonts w:ascii="新細明體" w:hAnsi="新細明體" w:eastAsia="新細明體"/>
          <w:color w:val="231F20"/>
        </w:rPr>
        <w:t>《關於進一步落實上市公司現金分紅有關事項的通知》</w:t>
      </w:r>
      <w:r>
        <w:rPr>
          <w:color w:val="231F20"/>
        </w:rPr>
        <w:t>), the Listed Companies Regulatory</w:t>
      </w:r>
      <w:r>
        <w:rPr>
          <w:color w:val="231F20"/>
          <w:spacing w:val="40"/>
        </w:rPr>
        <w:t> </w:t>
      </w:r>
      <w:r>
        <w:rPr>
          <w:color w:val="231F20"/>
        </w:rPr>
        <w:t>Guidance</w:t>
      </w:r>
      <w:r>
        <w:rPr>
          <w:color w:val="231F20"/>
          <w:spacing w:val="40"/>
        </w:rPr>
        <w:t> </w:t>
      </w:r>
      <w:r>
        <w:rPr>
          <w:color w:val="231F20"/>
        </w:rPr>
        <w:t>No</w:t>
      </w:r>
      <w:r>
        <w:rPr>
          <w:color w:val="231F20"/>
          <w:spacing w:val="20"/>
        </w:rPr>
        <w:t>. </w:t>
      </w:r>
      <w:r>
        <w:rPr>
          <w:color w:val="231F20"/>
        </w:rPr>
        <w:t>3</w:t>
      </w:r>
      <w:r>
        <w:rPr>
          <w:color w:val="231F20"/>
          <w:spacing w:val="40"/>
        </w:rPr>
        <w:t> </w:t>
      </w:r>
      <w:r>
        <w:rPr>
          <w:color w:val="231F20"/>
          <w:spacing w:val="20"/>
          <w:position w:val="3"/>
        </w:rPr>
        <w:t>– </w:t>
      </w:r>
      <w:r>
        <w:rPr>
          <w:color w:val="231F20"/>
        </w:rPr>
        <w:t>Cash</w:t>
      </w:r>
      <w:r>
        <w:rPr>
          <w:color w:val="231F20"/>
          <w:spacing w:val="40"/>
        </w:rPr>
        <w:t> </w:t>
      </w:r>
      <w:r>
        <w:rPr>
          <w:color w:val="231F20"/>
        </w:rPr>
        <w:t>Dividends</w:t>
      </w:r>
      <w:r>
        <w:rPr>
          <w:color w:val="231F20"/>
          <w:spacing w:val="40"/>
        </w:rPr>
        <w:t> </w:t>
      </w:r>
      <w:r>
        <w:rPr>
          <w:color w:val="231F20"/>
        </w:rPr>
        <w:t>Distribution</w:t>
      </w:r>
      <w:r>
        <w:rPr>
          <w:color w:val="231F20"/>
          <w:spacing w:val="40"/>
        </w:rPr>
        <w:t> </w:t>
      </w:r>
      <w:r>
        <w:rPr>
          <w:color w:val="231F20"/>
        </w:rPr>
        <w:t>of</w:t>
      </w:r>
      <w:r>
        <w:rPr>
          <w:color w:val="231F20"/>
          <w:spacing w:val="40"/>
        </w:rPr>
        <w:t> </w:t>
      </w:r>
      <w:r>
        <w:rPr>
          <w:color w:val="231F20"/>
        </w:rPr>
        <w:t>Listed</w:t>
      </w:r>
      <w:r>
        <w:rPr>
          <w:color w:val="231F20"/>
          <w:spacing w:val="40"/>
        </w:rPr>
        <w:t> </w:t>
      </w:r>
      <w:r>
        <w:rPr>
          <w:color w:val="231F20"/>
        </w:rPr>
        <w:t>Companies</w:t>
      </w:r>
      <w:r>
        <w:rPr>
          <w:color w:val="231F20"/>
          <w:spacing w:val="20"/>
        </w:rPr>
        <w:t> (</w:t>
      </w:r>
      <w:r>
        <w:rPr>
          <w:rFonts w:ascii="新細明體" w:hAnsi="新細明體" w:eastAsia="新細明體"/>
          <w:color w:val="231F20"/>
        </w:rPr>
        <w:t>《上市公司監管指引第 </w:t>
      </w:r>
      <w:r>
        <w:rPr>
          <w:color w:val="231F20"/>
        </w:rPr>
        <w:t>3</w:t>
      </w:r>
      <w:r>
        <w:rPr>
          <w:rFonts w:ascii="新細明體" w:hAnsi="新細明體" w:eastAsia="新細明體"/>
          <w:color w:val="231F20"/>
        </w:rPr>
        <w:t>號</w:t>
      </w:r>
      <w:r>
        <w:rPr>
          <w:color w:val="231F20"/>
          <w:position w:val="3"/>
        </w:rPr>
        <w:t>–</w:t>
      </w:r>
      <w:r>
        <w:rPr>
          <w:rFonts w:ascii="新細明體" w:hAnsi="新細明體" w:eastAsia="新細明體"/>
          <w:color w:val="231F20"/>
        </w:rPr>
        <w:t>上市公司現金分紅》</w:t>
      </w:r>
      <w:r>
        <w:rPr>
          <w:color w:val="231F20"/>
        </w:rPr>
        <w:t>), the Self-regulatory Guidelines for the Companies Listed on the Shenzhen Stock Exchange</w:t>
      </w:r>
      <w:r>
        <w:rPr>
          <w:color w:val="231F20"/>
          <w:spacing w:val="21"/>
        </w:rPr>
        <w:t> </w:t>
      </w:r>
      <w:r>
        <w:rPr>
          <w:color w:val="231F20"/>
        </w:rPr>
        <w:t>No</w:t>
      </w:r>
      <w:r>
        <w:rPr>
          <w:color w:val="231F20"/>
          <w:spacing w:val="10"/>
        </w:rPr>
        <w:t>. </w:t>
      </w:r>
      <w:r>
        <w:rPr>
          <w:color w:val="231F20"/>
        </w:rPr>
        <w:t>1</w:t>
      </w:r>
      <w:r>
        <w:rPr>
          <w:color w:val="231F20"/>
          <w:spacing w:val="10"/>
        </w:rPr>
        <w:t>: </w:t>
      </w:r>
      <w:r>
        <w:rPr>
          <w:color w:val="231F20"/>
        </w:rPr>
        <w:t>Standardized</w:t>
      </w:r>
      <w:r>
        <w:rPr>
          <w:color w:val="231F20"/>
          <w:spacing w:val="21"/>
        </w:rPr>
        <w:t> </w:t>
      </w:r>
      <w:r>
        <w:rPr>
          <w:color w:val="231F20"/>
        </w:rPr>
        <w:t>Operation</w:t>
      </w:r>
      <w:r>
        <w:rPr>
          <w:color w:val="231F20"/>
          <w:spacing w:val="21"/>
        </w:rPr>
        <w:t> </w:t>
      </w:r>
      <w:r>
        <w:rPr>
          <w:color w:val="231F20"/>
        </w:rPr>
        <w:t>of</w:t>
      </w:r>
      <w:r>
        <w:rPr>
          <w:color w:val="231F20"/>
          <w:spacing w:val="21"/>
        </w:rPr>
        <w:t> </w:t>
      </w:r>
      <w:r>
        <w:rPr>
          <w:color w:val="231F20"/>
        </w:rPr>
        <w:t>the</w:t>
      </w:r>
      <w:r>
        <w:rPr>
          <w:color w:val="231F20"/>
          <w:spacing w:val="21"/>
        </w:rPr>
        <w:t> </w:t>
      </w:r>
      <w:r>
        <w:rPr>
          <w:color w:val="231F20"/>
        </w:rPr>
        <w:t>Companies</w:t>
      </w:r>
      <w:r>
        <w:rPr>
          <w:color w:val="231F20"/>
          <w:spacing w:val="21"/>
        </w:rPr>
        <w:t> </w:t>
      </w:r>
      <w:r>
        <w:rPr>
          <w:color w:val="231F20"/>
        </w:rPr>
        <w:t>Listed</w:t>
      </w:r>
      <w:r>
        <w:rPr>
          <w:color w:val="231F20"/>
          <w:spacing w:val="21"/>
        </w:rPr>
        <w:t> </w:t>
      </w:r>
      <w:r>
        <w:rPr>
          <w:color w:val="231F20"/>
        </w:rPr>
        <w:t>on</w:t>
      </w:r>
      <w:r>
        <w:rPr>
          <w:color w:val="231F20"/>
          <w:spacing w:val="21"/>
        </w:rPr>
        <w:t> </w:t>
      </w:r>
      <w:r>
        <w:rPr>
          <w:color w:val="231F20"/>
        </w:rPr>
        <w:t>the</w:t>
      </w:r>
      <w:r>
        <w:rPr>
          <w:color w:val="231F20"/>
          <w:spacing w:val="21"/>
        </w:rPr>
        <w:t> </w:t>
      </w:r>
      <w:r>
        <w:rPr>
          <w:color w:val="231F20"/>
        </w:rPr>
        <w:t>Main</w:t>
      </w:r>
      <w:r>
        <w:rPr>
          <w:color w:val="231F20"/>
          <w:spacing w:val="21"/>
        </w:rPr>
        <w:t> </w:t>
      </w:r>
      <w:r>
        <w:rPr>
          <w:color w:val="231F20"/>
        </w:rPr>
        <w:t>Board</w:t>
      </w:r>
      <w:r>
        <w:rPr>
          <w:color w:val="231F20"/>
          <w:spacing w:val="10"/>
        </w:rPr>
        <w:t> (</w:t>
      </w:r>
      <w:r>
        <w:rPr>
          <w:rFonts w:ascii="新細明體" w:hAnsi="新細明體" w:eastAsia="新細明體"/>
          <w:color w:val="231F20"/>
        </w:rPr>
        <w:t>《深圳證券交易所上市公司自律監管指引第</w:t>
      </w:r>
      <w:r>
        <w:rPr>
          <w:color w:val="231F20"/>
        </w:rPr>
        <w:t>1</w:t>
      </w:r>
      <w:r>
        <w:rPr>
          <w:rFonts w:ascii="新細明體" w:hAnsi="新細明體" w:eastAsia="新細明體"/>
          <w:color w:val="231F20"/>
        </w:rPr>
        <w:t>號 </w:t>
      </w:r>
      <w:r>
        <w:rPr>
          <w:color w:val="231F20"/>
          <w:position w:val="3"/>
        </w:rPr>
        <w:t>– – </w:t>
      </w:r>
      <w:r>
        <w:rPr>
          <w:rFonts w:ascii="新細明體" w:hAnsi="新細明體" w:eastAsia="新細明體"/>
          <w:color w:val="231F20"/>
        </w:rPr>
        <w:t>主板上市公司規範運作》</w:t>
      </w:r>
      <w:r>
        <w:rPr>
          <w:color w:val="231F20"/>
        </w:rPr>
        <w:t>), and the Articles of Association. It is aligned with the Company’s business operations, sustainable profitability and future development plans. On the basis of ensuring</w:t>
      </w:r>
      <w:r>
        <w:rPr>
          <w:color w:val="231F20"/>
          <w:spacing w:val="40"/>
        </w:rPr>
        <w:t> </w:t>
      </w:r>
      <w:r>
        <w:rPr>
          <w:color w:val="231F20"/>
        </w:rPr>
        <w:t>the</w:t>
      </w:r>
      <w:r>
        <w:rPr>
          <w:color w:val="231F20"/>
          <w:spacing w:val="40"/>
        </w:rPr>
        <w:t> </w:t>
      </w:r>
      <w:r>
        <w:rPr>
          <w:color w:val="231F20"/>
        </w:rPr>
        <w:t>Company’s</w:t>
      </w:r>
      <w:r>
        <w:rPr>
          <w:color w:val="231F20"/>
          <w:spacing w:val="40"/>
        </w:rPr>
        <w:t> </w:t>
      </w:r>
      <w:r>
        <w:rPr>
          <w:color w:val="231F20"/>
        </w:rPr>
        <w:t>normal</w:t>
      </w:r>
      <w:r>
        <w:rPr>
          <w:color w:val="231F20"/>
          <w:spacing w:val="40"/>
        </w:rPr>
        <w:t> </w:t>
      </w:r>
      <w:r>
        <w:rPr>
          <w:color w:val="231F20"/>
        </w:rPr>
        <w:t>operations</w:t>
      </w:r>
      <w:r>
        <w:rPr>
          <w:color w:val="231F20"/>
          <w:spacing w:val="40"/>
        </w:rPr>
        <w:t> </w:t>
      </w:r>
      <w:r>
        <w:rPr>
          <w:color w:val="231F20"/>
        </w:rPr>
        <w:t>and</w:t>
      </w:r>
      <w:r>
        <w:rPr>
          <w:color w:val="231F20"/>
          <w:spacing w:val="40"/>
        </w:rPr>
        <w:t> </w:t>
      </w:r>
      <w:r>
        <w:rPr>
          <w:color w:val="231F20"/>
        </w:rPr>
        <w:t>sustainable</w:t>
      </w:r>
      <w:r>
        <w:rPr>
          <w:color w:val="231F20"/>
          <w:spacing w:val="40"/>
        </w:rPr>
        <w:t> </w:t>
      </w:r>
      <w:r>
        <w:rPr>
          <w:color w:val="231F20"/>
        </w:rPr>
        <w:t>development</w:t>
      </w:r>
      <w:r>
        <w:rPr>
          <w:color w:val="231F20"/>
          <w:spacing w:val="20"/>
        </w:rPr>
        <w:t>, </w:t>
      </w:r>
      <w:r>
        <w:rPr>
          <w:color w:val="231F20"/>
        </w:rPr>
        <w:t>it</w:t>
      </w:r>
      <w:r>
        <w:rPr>
          <w:color w:val="231F20"/>
          <w:spacing w:val="40"/>
        </w:rPr>
        <w:t> </w:t>
      </w:r>
      <w:r>
        <w:rPr>
          <w:color w:val="231F20"/>
        </w:rPr>
        <w:t>provides</w:t>
      </w:r>
      <w:r>
        <w:rPr>
          <w:color w:val="231F20"/>
          <w:spacing w:val="40"/>
        </w:rPr>
        <w:t> </w:t>
      </w:r>
      <w:r>
        <w:rPr>
          <w:color w:val="231F20"/>
        </w:rPr>
        <w:t>appropriate</w:t>
      </w:r>
      <w:r>
        <w:rPr>
          <w:color w:val="231F20"/>
          <w:spacing w:val="40"/>
        </w:rPr>
        <w:t> </w:t>
      </w:r>
      <w:r>
        <w:rPr>
          <w:color w:val="231F20"/>
        </w:rPr>
        <w:t>returns</w:t>
      </w:r>
      <w:r>
        <w:rPr>
          <w:color w:val="231F20"/>
          <w:spacing w:val="40"/>
        </w:rPr>
        <w:t> </w:t>
      </w:r>
      <w:r>
        <w:rPr>
          <w:color w:val="231F20"/>
        </w:rPr>
        <w:t>to the</w:t>
      </w:r>
      <w:r>
        <w:rPr>
          <w:color w:val="231F20"/>
          <w:spacing w:val="25"/>
        </w:rPr>
        <w:t> </w:t>
      </w:r>
      <w:r>
        <w:rPr>
          <w:color w:val="231F20"/>
        </w:rPr>
        <w:t>Shareholders</w:t>
      </w:r>
      <w:r>
        <w:rPr>
          <w:color w:val="231F20"/>
          <w:spacing w:val="12"/>
        </w:rPr>
        <w:t>, </w:t>
      </w:r>
      <w:r>
        <w:rPr>
          <w:color w:val="231F20"/>
        </w:rPr>
        <w:t>fully</w:t>
      </w:r>
      <w:r>
        <w:rPr>
          <w:color w:val="231F20"/>
          <w:spacing w:val="25"/>
        </w:rPr>
        <w:t> </w:t>
      </w:r>
      <w:r>
        <w:rPr>
          <w:color w:val="231F20"/>
        </w:rPr>
        <w:t>considers</w:t>
      </w:r>
      <w:r>
        <w:rPr>
          <w:color w:val="231F20"/>
          <w:spacing w:val="25"/>
        </w:rPr>
        <w:t> </w:t>
      </w:r>
      <w:r>
        <w:rPr>
          <w:color w:val="231F20"/>
        </w:rPr>
        <w:t>the</w:t>
      </w:r>
      <w:r>
        <w:rPr>
          <w:color w:val="231F20"/>
          <w:spacing w:val="25"/>
        </w:rPr>
        <w:t> </w:t>
      </w:r>
      <w:r>
        <w:rPr>
          <w:color w:val="231F20"/>
        </w:rPr>
        <w:t>interests</w:t>
      </w:r>
      <w:r>
        <w:rPr>
          <w:color w:val="231F20"/>
          <w:spacing w:val="25"/>
        </w:rPr>
        <w:t> </w:t>
      </w:r>
      <w:r>
        <w:rPr>
          <w:color w:val="231F20"/>
        </w:rPr>
        <w:t>and</w:t>
      </w:r>
      <w:r>
        <w:rPr>
          <w:color w:val="231F20"/>
          <w:spacing w:val="25"/>
        </w:rPr>
        <w:t> </w:t>
      </w:r>
      <w:r>
        <w:rPr>
          <w:color w:val="231F20"/>
        </w:rPr>
        <w:t>reasonable</w:t>
      </w:r>
      <w:r>
        <w:rPr>
          <w:color w:val="231F20"/>
          <w:spacing w:val="25"/>
        </w:rPr>
        <w:t> </w:t>
      </w:r>
      <w:r>
        <w:rPr>
          <w:color w:val="231F20"/>
        </w:rPr>
        <w:t>demands</w:t>
      </w:r>
      <w:r>
        <w:rPr>
          <w:color w:val="231F20"/>
          <w:spacing w:val="25"/>
        </w:rPr>
        <w:t> </w:t>
      </w:r>
      <w:r>
        <w:rPr>
          <w:color w:val="231F20"/>
        </w:rPr>
        <w:t>of</w:t>
      </w:r>
      <w:r>
        <w:rPr>
          <w:color w:val="231F20"/>
          <w:spacing w:val="25"/>
        </w:rPr>
        <w:t> </w:t>
      </w:r>
      <w:r>
        <w:rPr>
          <w:color w:val="231F20"/>
        </w:rPr>
        <w:t>the</w:t>
      </w:r>
      <w:r>
        <w:rPr>
          <w:color w:val="231F20"/>
          <w:spacing w:val="25"/>
        </w:rPr>
        <w:t> </w:t>
      </w:r>
      <w:r>
        <w:rPr>
          <w:color w:val="231F20"/>
        </w:rPr>
        <w:t>Shareholders</w:t>
      </w:r>
      <w:r>
        <w:rPr>
          <w:color w:val="231F20"/>
          <w:spacing w:val="12"/>
        </w:rPr>
        <w:t>, </w:t>
      </w:r>
      <w:r>
        <w:rPr>
          <w:color w:val="231F20"/>
        </w:rPr>
        <w:t>and</w:t>
      </w:r>
      <w:r>
        <w:rPr>
          <w:color w:val="231F20"/>
          <w:spacing w:val="25"/>
        </w:rPr>
        <w:t> </w:t>
      </w:r>
      <w:r>
        <w:rPr>
          <w:color w:val="231F20"/>
        </w:rPr>
        <w:t>is</w:t>
      </w:r>
      <w:r>
        <w:rPr>
          <w:color w:val="231F20"/>
          <w:spacing w:val="25"/>
        </w:rPr>
        <w:t> </w:t>
      </w:r>
      <w:r>
        <w:rPr>
          <w:color w:val="231F20"/>
        </w:rPr>
        <w:t>conducive to</w:t>
      </w:r>
      <w:r>
        <w:rPr>
          <w:color w:val="231F20"/>
          <w:spacing w:val="40"/>
        </w:rPr>
        <w:t> </w:t>
      </w:r>
      <w:r>
        <w:rPr>
          <w:color w:val="231F20"/>
        </w:rPr>
        <w:t>the</w:t>
      </w:r>
      <w:r>
        <w:rPr>
          <w:color w:val="231F20"/>
          <w:spacing w:val="40"/>
        </w:rPr>
        <w:t> </w:t>
      </w:r>
      <w:r>
        <w:rPr>
          <w:color w:val="231F20"/>
        </w:rPr>
        <w:t>Company’s</w:t>
      </w:r>
      <w:r>
        <w:rPr>
          <w:color w:val="231F20"/>
          <w:spacing w:val="40"/>
        </w:rPr>
        <w:t> </w:t>
      </w:r>
      <w:r>
        <w:rPr>
          <w:color w:val="231F20"/>
        </w:rPr>
        <w:t>continued</w:t>
      </w:r>
      <w:r>
        <w:rPr>
          <w:color w:val="231F20"/>
          <w:spacing w:val="40"/>
        </w:rPr>
        <w:t> </w:t>
      </w:r>
      <w:r>
        <w:rPr>
          <w:color w:val="231F20"/>
        </w:rPr>
        <w:t>stability</w:t>
      </w:r>
      <w:r>
        <w:rPr>
          <w:color w:val="231F20"/>
          <w:spacing w:val="40"/>
        </w:rPr>
        <w:t> </w:t>
      </w:r>
      <w:r>
        <w:rPr>
          <w:color w:val="231F20"/>
        </w:rPr>
        <w:t>and</w:t>
      </w:r>
      <w:r>
        <w:rPr>
          <w:color w:val="231F20"/>
          <w:spacing w:val="40"/>
        </w:rPr>
        <w:t> </w:t>
      </w:r>
      <w:r>
        <w:rPr>
          <w:color w:val="231F20"/>
        </w:rPr>
        <w:t>long-term</w:t>
      </w:r>
      <w:r>
        <w:rPr>
          <w:color w:val="231F20"/>
          <w:spacing w:val="40"/>
        </w:rPr>
        <w:t> </w:t>
      </w:r>
      <w:r>
        <w:rPr>
          <w:color w:val="231F20"/>
        </w:rPr>
        <w:t>development</w:t>
      </w:r>
      <w:r>
        <w:rPr>
          <w:color w:val="231F20"/>
          <w:spacing w:val="20"/>
        </w:rPr>
        <w:t>. </w:t>
      </w:r>
      <w:r>
        <w:rPr>
          <w:color w:val="231F20"/>
        </w:rPr>
        <w:t>The</w:t>
      </w:r>
      <w:r>
        <w:rPr>
          <w:color w:val="231F20"/>
          <w:spacing w:val="40"/>
        </w:rPr>
        <w:t> </w:t>
      </w:r>
      <w:r>
        <w:rPr>
          <w:color w:val="231F20"/>
        </w:rPr>
        <w:t>plan</w:t>
      </w:r>
      <w:r>
        <w:rPr>
          <w:color w:val="231F20"/>
          <w:spacing w:val="40"/>
        </w:rPr>
        <w:t> </w:t>
      </w:r>
      <w:r>
        <w:rPr>
          <w:color w:val="231F20"/>
        </w:rPr>
        <w:t>is</w:t>
      </w:r>
      <w:r>
        <w:rPr>
          <w:color w:val="231F20"/>
          <w:spacing w:val="40"/>
        </w:rPr>
        <w:t> </w:t>
      </w:r>
      <w:r>
        <w:rPr>
          <w:color w:val="231F20"/>
        </w:rPr>
        <w:t>consistent</w:t>
      </w:r>
      <w:r>
        <w:rPr>
          <w:color w:val="231F20"/>
          <w:spacing w:val="40"/>
        </w:rPr>
        <w:t> </w:t>
      </w:r>
      <w:r>
        <w:rPr>
          <w:color w:val="231F20"/>
        </w:rPr>
        <w:t>with</w:t>
      </w:r>
      <w:r>
        <w:rPr>
          <w:color w:val="231F20"/>
          <w:spacing w:val="40"/>
        </w:rPr>
        <w:t> </w:t>
      </w:r>
      <w:r>
        <w:rPr>
          <w:color w:val="231F20"/>
        </w:rPr>
        <w:t>the</w:t>
      </w:r>
      <w:r>
        <w:rPr>
          <w:color w:val="231F20"/>
          <w:spacing w:val="40"/>
        </w:rPr>
        <w:t> </w:t>
      </w:r>
      <w:r>
        <w:rPr>
          <w:color w:val="231F20"/>
        </w:rPr>
        <w:t>interests of</w:t>
      </w:r>
      <w:r>
        <w:rPr>
          <w:color w:val="231F20"/>
          <w:spacing w:val="40"/>
        </w:rPr>
        <w:t> </w:t>
      </w:r>
      <w:r>
        <w:rPr>
          <w:color w:val="231F20"/>
        </w:rPr>
        <w:t>the</w:t>
      </w:r>
      <w:r>
        <w:rPr>
          <w:color w:val="231F20"/>
          <w:spacing w:val="40"/>
        </w:rPr>
        <w:t> </w:t>
      </w:r>
      <w:r>
        <w:rPr>
          <w:color w:val="231F20"/>
        </w:rPr>
        <w:t>Company</w:t>
      </w:r>
      <w:r>
        <w:rPr>
          <w:color w:val="231F20"/>
          <w:spacing w:val="40"/>
        </w:rPr>
        <w:t> </w:t>
      </w:r>
      <w:r>
        <w:rPr>
          <w:color w:val="231F20"/>
        </w:rPr>
        <w:t>and</w:t>
      </w:r>
      <w:r>
        <w:rPr>
          <w:color w:val="231F20"/>
          <w:spacing w:val="40"/>
        </w:rPr>
        <w:t> </w:t>
      </w:r>
      <w:r>
        <w:rPr>
          <w:color w:val="231F20"/>
        </w:rPr>
        <w:t>all</w:t>
      </w:r>
      <w:r>
        <w:rPr>
          <w:color w:val="231F20"/>
          <w:spacing w:val="40"/>
        </w:rPr>
        <w:t> </w:t>
      </w:r>
      <w:r>
        <w:rPr>
          <w:color w:val="231F20"/>
        </w:rPr>
        <w:t>Shareholders</w:t>
      </w:r>
      <w:r>
        <w:rPr>
          <w:color w:val="231F20"/>
          <w:spacing w:val="40"/>
        </w:rPr>
        <w:t> </w:t>
      </w:r>
      <w:r>
        <w:rPr>
          <w:color w:val="231F20"/>
        </w:rPr>
        <w:t>and</w:t>
      </w:r>
      <w:r>
        <w:rPr>
          <w:color w:val="231F20"/>
          <w:spacing w:val="40"/>
        </w:rPr>
        <w:t> </w:t>
      </w:r>
      <w:r>
        <w:rPr>
          <w:color w:val="231F20"/>
        </w:rPr>
        <w:t>is</w:t>
      </w:r>
      <w:r>
        <w:rPr>
          <w:color w:val="231F20"/>
          <w:spacing w:val="40"/>
        </w:rPr>
        <w:t> </w:t>
      </w:r>
      <w:r>
        <w:rPr>
          <w:color w:val="231F20"/>
        </w:rPr>
        <w:t>both</w:t>
      </w:r>
      <w:r>
        <w:rPr>
          <w:color w:val="231F20"/>
          <w:spacing w:val="40"/>
        </w:rPr>
        <w:t> </w:t>
      </w:r>
      <w:r>
        <w:rPr>
          <w:color w:val="231F20"/>
        </w:rPr>
        <w:t>reasonable</w:t>
      </w:r>
      <w:r>
        <w:rPr>
          <w:color w:val="231F20"/>
          <w:spacing w:val="40"/>
        </w:rPr>
        <w:t> </w:t>
      </w:r>
      <w:r>
        <w:rPr>
          <w:color w:val="231F20"/>
        </w:rPr>
        <w:t>and</w:t>
      </w:r>
      <w:r>
        <w:rPr>
          <w:color w:val="231F20"/>
          <w:spacing w:val="40"/>
        </w:rPr>
        <w:t> </w:t>
      </w:r>
      <w:r>
        <w:rPr>
          <w:color w:val="231F20"/>
        </w:rPr>
        <w:t>lawful.</w:t>
      </w:r>
    </w:p>
    <w:p>
      <w:pPr>
        <w:pStyle w:val="BodyText"/>
        <w:spacing w:before="87"/>
      </w:pPr>
    </w:p>
    <w:p>
      <w:pPr>
        <w:pStyle w:val="Heading3"/>
        <w:numPr>
          <w:ilvl w:val="0"/>
          <w:numId w:val="5"/>
        </w:numPr>
        <w:tabs>
          <w:tab w:pos="708" w:val="left" w:leader="none"/>
        </w:tabs>
        <w:spacing w:line="240" w:lineRule="auto" w:before="1" w:after="0"/>
        <w:ind w:left="708" w:right="0" w:hanging="566"/>
        <w:jc w:val="left"/>
      </w:pPr>
      <w:r>
        <w:rPr>
          <w:color w:val="231F20"/>
          <w:spacing w:val="-2"/>
        </w:rPr>
        <w:t>ADJUSTMENT</w:t>
      </w:r>
      <w:r>
        <w:rPr>
          <w:color w:val="231F20"/>
          <w:spacing w:val="-9"/>
        </w:rPr>
        <w:t> </w:t>
      </w:r>
      <w:r>
        <w:rPr>
          <w:color w:val="231F20"/>
          <w:spacing w:val="-2"/>
        </w:rPr>
        <w:t>TO</w:t>
      </w:r>
      <w:r>
        <w:rPr>
          <w:color w:val="231F20"/>
          <w:spacing w:val="-8"/>
        </w:rPr>
        <w:t> </w:t>
      </w:r>
      <w:r>
        <w:rPr>
          <w:color w:val="231F20"/>
          <w:spacing w:val="-2"/>
        </w:rPr>
        <w:t>THE</w:t>
      </w:r>
      <w:r>
        <w:rPr>
          <w:color w:val="231F20"/>
          <w:spacing w:val="-9"/>
        </w:rPr>
        <w:t> </w:t>
      </w:r>
      <w:r>
        <w:rPr>
          <w:color w:val="231F20"/>
          <w:spacing w:val="-2"/>
        </w:rPr>
        <w:t>ESTIMATED</w:t>
      </w:r>
      <w:r>
        <w:rPr>
          <w:color w:val="231F20"/>
          <w:spacing w:val="-8"/>
        </w:rPr>
        <w:t> </w:t>
      </w:r>
      <w:r>
        <w:rPr>
          <w:color w:val="231F20"/>
          <w:spacing w:val="-2"/>
        </w:rPr>
        <w:t>GUARANTEE</w:t>
      </w:r>
      <w:r>
        <w:rPr>
          <w:color w:val="231F20"/>
          <w:spacing w:val="-8"/>
        </w:rPr>
        <w:t> </w:t>
      </w:r>
      <w:r>
        <w:rPr>
          <w:color w:val="231F20"/>
          <w:spacing w:val="-2"/>
        </w:rPr>
        <w:t>AMOUNT</w:t>
      </w:r>
      <w:r>
        <w:rPr>
          <w:color w:val="231F20"/>
          <w:spacing w:val="-9"/>
        </w:rPr>
        <w:t> </w:t>
      </w:r>
      <w:r>
        <w:rPr>
          <w:color w:val="231F20"/>
          <w:spacing w:val="-2"/>
        </w:rPr>
        <w:t>PROVIDED</w:t>
      </w:r>
      <w:r>
        <w:rPr>
          <w:color w:val="231F20"/>
          <w:spacing w:val="-8"/>
        </w:rPr>
        <w:t> </w:t>
      </w:r>
      <w:r>
        <w:rPr>
          <w:color w:val="231F20"/>
          <w:spacing w:val="-2"/>
        </w:rPr>
        <w:t>TO</w:t>
      </w:r>
      <w:r>
        <w:rPr>
          <w:color w:val="231F20"/>
          <w:spacing w:val="-8"/>
        </w:rPr>
        <w:t> </w:t>
      </w:r>
      <w:r>
        <w:rPr>
          <w:color w:val="231F20"/>
          <w:spacing w:val="-2"/>
        </w:rPr>
        <w:t>SUBSIDIARIES</w:t>
      </w:r>
    </w:p>
    <w:p>
      <w:pPr>
        <w:pStyle w:val="BodyText"/>
        <w:spacing w:before="100"/>
        <w:rPr>
          <w:b/>
        </w:rPr>
      </w:pPr>
    </w:p>
    <w:p>
      <w:pPr>
        <w:pStyle w:val="BodyText"/>
        <w:spacing w:line="292" w:lineRule="auto"/>
        <w:ind w:left="142" w:right="135" w:firstLine="567"/>
        <w:jc w:val="both"/>
      </w:pPr>
      <w:r>
        <w:rPr>
          <w:color w:val="231F20"/>
        </w:rPr>
        <w:t>An ordinary resolution will be proposed at the 2025 Second EGM to consider and approve the adjustment to</w:t>
      </w:r>
      <w:r>
        <w:rPr>
          <w:color w:val="231F20"/>
          <w:spacing w:val="40"/>
        </w:rPr>
        <w:t> </w:t>
      </w:r>
      <w:r>
        <w:rPr>
          <w:color w:val="231F20"/>
        </w:rPr>
        <w:t>estimated</w:t>
      </w:r>
      <w:r>
        <w:rPr>
          <w:color w:val="231F20"/>
          <w:spacing w:val="40"/>
        </w:rPr>
        <w:t> </w:t>
      </w:r>
      <w:r>
        <w:rPr>
          <w:color w:val="231F20"/>
        </w:rPr>
        <w:t>guarantee</w:t>
      </w:r>
      <w:r>
        <w:rPr>
          <w:color w:val="231F20"/>
          <w:spacing w:val="40"/>
        </w:rPr>
        <w:t> </w:t>
      </w:r>
      <w:r>
        <w:rPr>
          <w:color w:val="231F20"/>
        </w:rPr>
        <w:t>amount</w:t>
      </w:r>
      <w:r>
        <w:rPr>
          <w:color w:val="231F20"/>
          <w:spacing w:val="40"/>
        </w:rPr>
        <w:t> </w:t>
      </w:r>
      <w:r>
        <w:rPr>
          <w:color w:val="231F20"/>
        </w:rPr>
        <w:t>provided</w:t>
      </w:r>
      <w:r>
        <w:rPr>
          <w:color w:val="231F20"/>
          <w:spacing w:val="40"/>
        </w:rPr>
        <w:t> </w:t>
      </w:r>
      <w:r>
        <w:rPr>
          <w:color w:val="231F20"/>
        </w:rPr>
        <w:t>to</w:t>
      </w:r>
      <w:r>
        <w:rPr>
          <w:color w:val="231F20"/>
          <w:spacing w:val="40"/>
        </w:rPr>
        <w:t> </w:t>
      </w:r>
      <w:r>
        <w:rPr>
          <w:color w:val="231F20"/>
        </w:rPr>
        <w:t>certain</w:t>
      </w:r>
      <w:r>
        <w:rPr>
          <w:color w:val="231F20"/>
          <w:spacing w:val="40"/>
        </w:rPr>
        <w:t> </w:t>
      </w:r>
      <w:r>
        <w:rPr>
          <w:color w:val="231F20"/>
        </w:rPr>
        <w:t>subsidiaries</w:t>
      </w:r>
      <w:r>
        <w:rPr>
          <w:color w:val="231F20"/>
          <w:spacing w:val="40"/>
        </w:rPr>
        <w:t> </w:t>
      </w:r>
      <w:r>
        <w:rPr>
          <w:color w:val="231F20"/>
        </w:rPr>
        <w:t>(collectively,</w:t>
      </w:r>
      <w:r>
        <w:rPr>
          <w:color w:val="231F20"/>
          <w:spacing w:val="40"/>
        </w:rPr>
        <w:t> </w:t>
      </w:r>
      <w:r>
        <w:rPr>
          <w:color w:val="231F20"/>
        </w:rPr>
        <w:t>the</w:t>
      </w:r>
      <w:r>
        <w:rPr>
          <w:color w:val="231F20"/>
          <w:spacing w:val="40"/>
        </w:rPr>
        <w:t> </w:t>
      </w:r>
      <w:r>
        <w:rPr>
          <w:color w:val="231F20"/>
        </w:rPr>
        <w:t>“</w:t>
      </w:r>
      <w:r>
        <w:rPr>
          <w:b/>
          <w:color w:val="231F20"/>
        </w:rPr>
        <w:t>Guaranteed</w:t>
      </w:r>
      <w:r>
        <w:rPr>
          <w:b/>
          <w:color w:val="231F20"/>
          <w:spacing w:val="40"/>
        </w:rPr>
        <w:t> </w:t>
      </w:r>
      <w:r>
        <w:rPr>
          <w:b/>
          <w:color w:val="231F20"/>
        </w:rPr>
        <w:t>Parties</w:t>
      </w:r>
      <w:r>
        <w:rPr>
          <w:color w:val="231F20"/>
        </w:rPr>
        <w:t>”), details</w:t>
      </w:r>
      <w:r>
        <w:rPr>
          <w:color w:val="231F20"/>
          <w:spacing w:val="40"/>
        </w:rPr>
        <w:t> </w:t>
      </w:r>
      <w:r>
        <w:rPr>
          <w:color w:val="231F20"/>
        </w:rPr>
        <w:t>of</w:t>
      </w:r>
      <w:r>
        <w:rPr>
          <w:color w:val="231F20"/>
          <w:spacing w:val="40"/>
        </w:rPr>
        <w:t> </w:t>
      </w:r>
      <w:r>
        <w:rPr>
          <w:color w:val="231F20"/>
        </w:rPr>
        <w:t>which</w:t>
      </w:r>
      <w:r>
        <w:rPr>
          <w:color w:val="231F20"/>
          <w:spacing w:val="40"/>
        </w:rPr>
        <w:t> </w:t>
      </w:r>
      <w:r>
        <w:rPr>
          <w:color w:val="231F20"/>
        </w:rPr>
        <w:t>are</w:t>
      </w:r>
      <w:r>
        <w:rPr>
          <w:color w:val="231F20"/>
          <w:spacing w:val="40"/>
        </w:rPr>
        <w:t> </w:t>
      </w:r>
      <w:r>
        <w:rPr>
          <w:color w:val="231F20"/>
        </w:rPr>
        <w:t>set</w:t>
      </w:r>
      <w:r>
        <w:rPr>
          <w:color w:val="231F20"/>
          <w:spacing w:val="40"/>
        </w:rPr>
        <w:t> </w:t>
      </w:r>
      <w:r>
        <w:rPr>
          <w:color w:val="231F20"/>
        </w:rPr>
        <w:t>forth</w:t>
      </w:r>
      <w:r>
        <w:rPr>
          <w:color w:val="231F20"/>
          <w:spacing w:val="40"/>
        </w:rPr>
        <w:t> </w:t>
      </w:r>
      <w:r>
        <w:rPr>
          <w:color w:val="231F20"/>
        </w:rPr>
        <w:t>as</w:t>
      </w:r>
      <w:r>
        <w:rPr>
          <w:color w:val="231F20"/>
          <w:spacing w:val="40"/>
        </w:rPr>
        <w:t> </w:t>
      </w:r>
      <w:r>
        <w:rPr>
          <w:color w:val="231F20"/>
        </w:rPr>
        <w:t>below:</w:t>
      </w:r>
    </w:p>
    <w:p>
      <w:pPr>
        <w:pStyle w:val="BodyText"/>
        <w:spacing w:before="11"/>
      </w:pPr>
    </w:p>
    <w:p>
      <w:pPr>
        <w:pStyle w:val="BodyText"/>
        <w:spacing w:line="280" w:lineRule="exact"/>
        <w:ind w:left="142" w:right="128" w:firstLine="567"/>
        <w:jc w:val="both"/>
      </w:pPr>
      <w:r>
        <w:rPr>
          <w:color w:val="231F20"/>
        </w:rPr>
        <w:t>The Guaranteed Parties are controlled subsidiaries of the Company, namely, Langfang Jihong Packaging Co.</w:t>
      </w:r>
      <w:r>
        <w:rPr>
          <w:color w:val="231F20"/>
          <w:spacing w:val="17"/>
        </w:rPr>
        <w:t>, </w:t>
      </w:r>
      <w:r>
        <w:rPr>
          <w:color w:val="231F20"/>
        </w:rPr>
        <w:t>Ltd.*</w:t>
      </w:r>
      <w:r>
        <w:rPr>
          <w:color w:val="231F20"/>
          <w:spacing w:val="17"/>
        </w:rPr>
        <w:t> (</w:t>
      </w:r>
      <w:r>
        <w:rPr>
          <w:rFonts w:ascii="新細明體" w:hAnsi="新細明體" w:eastAsia="新細明體"/>
          <w:color w:val="231F20"/>
        </w:rPr>
        <w:t>廊坊市吉宏包裝有限公司</w:t>
      </w:r>
      <w:r>
        <w:rPr>
          <w:color w:val="231F20"/>
          <w:spacing w:val="8"/>
        </w:rPr>
        <w:t>) (“</w:t>
      </w:r>
      <w:r>
        <w:rPr>
          <w:b/>
          <w:color w:val="231F20"/>
        </w:rPr>
        <w:t>Langfang</w:t>
      </w:r>
      <w:r>
        <w:rPr>
          <w:b/>
          <w:color w:val="231F20"/>
          <w:spacing w:val="33"/>
        </w:rPr>
        <w:t> </w:t>
      </w:r>
      <w:r>
        <w:rPr>
          <w:b/>
          <w:color w:val="231F20"/>
        </w:rPr>
        <w:t>Jihong</w:t>
      </w:r>
      <w:r>
        <w:rPr>
          <w:color w:val="231F20"/>
          <w:spacing w:val="8"/>
        </w:rPr>
        <w:t>”), </w:t>
      </w:r>
      <w:r>
        <w:rPr>
          <w:color w:val="231F20"/>
        </w:rPr>
        <w:t>Anhui</w:t>
      </w:r>
      <w:r>
        <w:rPr>
          <w:color w:val="231F20"/>
          <w:spacing w:val="34"/>
        </w:rPr>
        <w:t> </w:t>
      </w:r>
      <w:r>
        <w:rPr>
          <w:color w:val="231F20"/>
        </w:rPr>
        <w:t>Jihong</w:t>
      </w:r>
      <w:r>
        <w:rPr>
          <w:color w:val="231F20"/>
          <w:spacing w:val="34"/>
        </w:rPr>
        <w:t> </w:t>
      </w:r>
      <w:r>
        <w:rPr>
          <w:color w:val="231F20"/>
        </w:rPr>
        <w:t>EP</w:t>
      </w:r>
      <w:r>
        <w:rPr>
          <w:color w:val="231F20"/>
          <w:spacing w:val="34"/>
        </w:rPr>
        <w:t> </w:t>
      </w:r>
      <w:r>
        <w:rPr>
          <w:color w:val="231F20"/>
        </w:rPr>
        <w:t>Paper</w:t>
      </w:r>
      <w:r>
        <w:rPr>
          <w:color w:val="231F20"/>
          <w:spacing w:val="34"/>
        </w:rPr>
        <w:t> </w:t>
      </w:r>
      <w:r>
        <w:rPr>
          <w:color w:val="231F20"/>
        </w:rPr>
        <w:t>Products</w:t>
      </w:r>
      <w:r>
        <w:rPr>
          <w:color w:val="231F20"/>
          <w:spacing w:val="34"/>
        </w:rPr>
        <w:t> </w:t>
      </w:r>
      <w:r>
        <w:rPr>
          <w:color w:val="231F20"/>
        </w:rPr>
        <w:t>Co.</w:t>
      </w:r>
      <w:r>
        <w:rPr>
          <w:color w:val="231F20"/>
          <w:spacing w:val="17"/>
        </w:rPr>
        <w:t>, </w:t>
      </w:r>
      <w:r>
        <w:rPr>
          <w:color w:val="231F20"/>
        </w:rPr>
        <w:t>Ltd</w:t>
      </w:r>
      <w:r>
        <w:rPr>
          <w:color w:val="231F20"/>
          <w:spacing w:val="17"/>
        </w:rPr>
        <w:t>. </w:t>
      </w:r>
      <w:r>
        <w:rPr>
          <w:color w:val="231F20"/>
        </w:rPr>
        <w:t>* (</w:t>
      </w:r>
      <w:r>
        <w:rPr>
          <w:rFonts w:ascii="新細明體" w:hAnsi="新細明體" w:eastAsia="新細明體"/>
          <w:color w:val="231F20"/>
        </w:rPr>
        <w:t>安徽吉宏環保紙品有限公司</w:t>
      </w:r>
      <w:r>
        <w:rPr>
          <w:color w:val="231F20"/>
          <w:spacing w:val="6"/>
        </w:rPr>
        <w:t>) (“</w:t>
      </w:r>
      <w:r>
        <w:rPr>
          <w:b/>
          <w:color w:val="231F20"/>
        </w:rPr>
        <w:t>Anhui</w:t>
      </w:r>
      <w:r>
        <w:rPr>
          <w:b/>
          <w:color w:val="231F20"/>
          <w:spacing w:val="26"/>
        </w:rPr>
        <w:t> </w:t>
      </w:r>
      <w:r>
        <w:rPr>
          <w:b/>
          <w:color w:val="231F20"/>
        </w:rPr>
        <w:t>Jihong</w:t>
      </w:r>
      <w:r>
        <w:rPr>
          <w:color w:val="231F20"/>
          <w:spacing w:val="6"/>
        </w:rPr>
        <w:t>”), </w:t>
      </w:r>
      <w:r>
        <w:rPr>
          <w:color w:val="231F20"/>
        </w:rPr>
        <w:t>VStar</w:t>
      </w:r>
      <w:r>
        <w:rPr>
          <w:color w:val="231F20"/>
          <w:spacing w:val="26"/>
        </w:rPr>
        <w:t> </w:t>
      </w:r>
      <w:r>
        <w:rPr>
          <w:color w:val="231F20"/>
        </w:rPr>
        <w:t>Packaging</w:t>
      </w:r>
      <w:r>
        <w:rPr>
          <w:color w:val="231F20"/>
          <w:spacing w:val="26"/>
        </w:rPr>
        <w:t> </w:t>
      </w:r>
      <w:r>
        <w:rPr>
          <w:color w:val="231F20"/>
        </w:rPr>
        <w:t>(China</w:t>
      </w:r>
      <w:r>
        <w:rPr>
          <w:color w:val="231F20"/>
          <w:spacing w:val="13"/>
        </w:rPr>
        <w:t>) </w:t>
      </w:r>
      <w:r>
        <w:rPr>
          <w:color w:val="231F20"/>
        </w:rPr>
        <w:t>Limited*</w:t>
      </w:r>
      <w:r>
        <w:rPr>
          <w:color w:val="231F20"/>
          <w:spacing w:val="13"/>
        </w:rPr>
        <w:t> (</w:t>
      </w:r>
      <w:r>
        <w:rPr>
          <w:rFonts w:ascii="新細明體" w:hAnsi="新細明體" w:eastAsia="新細明體"/>
          <w:color w:val="231F20"/>
        </w:rPr>
        <w:t>孝感市吉聯食品包裝有限公司</w:t>
      </w:r>
      <w:r>
        <w:rPr>
          <w:color w:val="231F20"/>
          <w:spacing w:val="10"/>
        </w:rPr>
        <w:t>) (“</w:t>
      </w:r>
      <w:r>
        <w:rPr>
          <w:b/>
          <w:color w:val="231F20"/>
        </w:rPr>
        <w:t>VStar</w:t>
      </w:r>
      <w:r>
        <w:rPr>
          <w:b/>
          <w:color w:val="231F20"/>
          <w:spacing w:val="40"/>
        </w:rPr>
        <w:t> </w:t>
      </w:r>
      <w:r>
        <w:rPr>
          <w:b/>
          <w:color w:val="231F20"/>
        </w:rPr>
        <w:t>Packaging</w:t>
      </w:r>
      <w:r>
        <w:rPr>
          <w:color w:val="231F20"/>
          <w:spacing w:val="10"/>
        </w:rPr>
        <w:t>”), </w:t>
      </w:r>
      <w:r>
        <w:rPr>
          <w:color w:val="231F20"/>
        </w:rPr>
        <w:t>Xiamen</w:t>
      </w:r>
      <w:r>
        <w:rPr>
          <w:color w:val="231F20"/>
          <w:spacing w:val="40"/>
        </w:rPr>
        <w:t> </w:t>
      </w:r>
      <w:r>
        <w:rPr>
          <w:color w:val="231F20"/>
        </w:rPr>
        <w:t>Jihong</w:t>
      </w:r>
      <w:r>
        <w:rPr>
          <w:color w:val="231F20"/>
          <w:spacing w:val="40"/>
        </w:rPr>
        <w:t> </w:t>
      </w:r>
      <w:r>
        <w:rPr>
          <w:color w:val="231F20"/>
        </w:rPr>
        <w:t>Packaging</w:t>
      </w:r>
      <w:r>
        <w:rPr>
          <w:color w:val="231F20"/>
          <w:spacing w:val="40"/>
        </w:rPr>
        <w:t> </w:t>
      </w:r>
      <w:r>
        <w:rPr>
          <w:color w:val="231F20"/>
        </w:rPr>
        <w:t>Industry</w:t>
      </w:r>
      <w:r>
        <w:rPr>
          <w:color w:val="231F20"/>
          <w:spacing w:val="40"/>
        </w:rPr>
        <w:t> </w:t>
      </w:r>
      <w:r>
        <w:rPr>
          <w:color w:val="231F20"/>
        </w:rPr>
        <w:t>Co.</w:t>
      </w:r>
      <w:r>
        <w:rPr>
          <w:color w:val="231F20"/>
          <w:spacing w:val="20"/>
        </w:rPr>
        <w:t>, </w:t>
      </w:r>
      <w:r>
        <w:rPr>
          <w:color w:val="231F20"/>
        </w:rPr>
        <w:t>Limited*</w:t>
      </w:r>
      <w:r>
        <w:rPr>
          <w:color w:val="231F20"/>
          <w:spacing w:val="20"/>
        </w:rPr>
        <w:t> (</w:t>
      </w:r>
      <w:r>
        <w:rPr>
          <w:rFonts w:ascii="新細明體" w:hAnsi="新細明體" w:eastAsia="新細明體"/>
          <w:color w:val="231F20"/>
        </w:rPr>
        <w:t>廈門吉宏包裝工業有限公司</w:t>
      </w:r>
      <w:r>
        <w:rPr>
          <w:color w:val="231F20"/>
          <w:spacing w:val="10"/>
        </w:rPr>
        <w:t>) (“</w:t>
      </w:r>
      <w:r>
        <w:rPr>
          <w:b/>
          <w:color w:val="231F20"/>
        </w:rPr>
        <w:t>Jihong</w:t>
      </w:r>
      <w:r>
        <w:rPr>
          <w:b/>
          <w:color w:val="231F20"/>
          <w:spacing w:val="40"/>
        </w:rPr>
        <w:t> </w:t>
      </w:r>
      <w:r>
        <w:rPr>
          <w:b/>
          <w:color w:val="231F20"/>
        </w:rPr>
        <w:t>Industry</w:t>
      </w:r>
      <w:r>
        <w:rPr>
          <w:color w:val="231F20"/>
          <w:spacing w:val="10"/>
        </w:rPr>
        <w:t>”), </w:t>
      </w:r>
      <w:r>
        <w:rPr>
          <w:color w:val="231F20"/>
        </w:rPr>
        <w:t>Ningxia</w:t>
      </w:r>
      <w:r>
        <w:rPr>
          <w:color w:val="231F20"/>
          <w:spacing w:val="40"/>
        </w:rPr>
        <w:t> </w:t>
      </w:r>
      <w:r>
        <w:rPr>
          <w:color w:val="231F20"/>
        </w:rPr>
        <w:t>Jihong</w:t>
      </w:r>
      <w:r>
        <w:rPr>
          <w:color w:val="231F20"/>
          <w:spacing w:val="40"/>
        </w:rPr>
        <w:t> </w:t>
      </w:r>
      <w:r>
        <w:rPr>
          <w:color w:val="231F20"/>
        </w:rPr>
        <w:t>Environmental</w:t>
      </w:r>
      <w:r>
        <w:rPr>
          <w:color w:val="231F20"/>
          <w:spacing w:val="40"/>
        </w:rPr>
        <w:t> </w:t>
      </w:r>
      <w:r>
        <w:rPr>
          <w:color w:val="231F20"/>
        </w:rPr>
        <w:t>Protection</w:t>
      </w:r>
      <w:r>
        <w:rPr>
          <w:color w:val="231F20"/>
          <w:spacing w:val="40"/>
        </w:rPr>
        <w:t> </w:t>
      </w:r>
      <w:r>
        <w:rPr>
          <w:color w:val="231F20"/>
        </w:rPr>
        <w:t>Packaging</w:t>
      </w:r>
      <w:r>
        <w:rPr>
          <w:color w:val="231F20"/>
          <w:spacing w:val="40"/>
        </w:rPr>
        <w:t> </w:t>
      </w:r>
      <w:r>
        <w:rPr>
          <w:color w:val="231F20"/>
        </w:rPr>
        <w:t>Technology</w:t>
      </w:r>
      <w:r>
        <w:rPr>
          <w:color w:val="231F20"/>
          <w:spacing w:val="40"/>
        </w:rPr>
        <w:t> </w:t>
      </w:r>
      <w:r>
        <w:rPr>
          <w:color w:val="231F20"/>
        </w:rPr>
        <w:t>Co.</w:t>
      </w:r>
      <w:r>
        <w:rPr>
          <w:color w:val="231F20"/>
          <w:spacing w:val="20"/>
        </w:rPr>
        <w:t>, </w:t>
      </w:r>
      <w:r>
        <w:rPr>
          <w:color w:val="231F20"/>
        </w:rPr>
        <w:t>Ltd.*</w:t>
      </w:r>
      <w:r>
        <w:rPr>
          <w:color w:val="231F20"/>
          <w:spacing w:val="40"/>
        </w:rPr>
        <w:t> </w:t>
      </w:r>
      <w:r>
        <w:rPr>
          <w:color w:val="231F20"/>
        </w:rPr>
        <w:t>(</w:t>
      </w:r>
      <w:r>
        <w:rPr>
          <w:rFonts w:ascii="新細明體" w:hAnsi="新細明體" w:eastAsia="新細明體"/>
          <w:color w:val="231F20"/>
        </w:rPr>
        <w:t>寧夏吉宏環保包裝科技有限公司</w:t>
      </w:r>
      <w:r>
        <w:rPr>
          <w:color w:val="231F20"/>
        </w:rPr>
        <w:t>)</w:t>
      </w:r>
      <w:r>
        <w:rPr>
          <w:color w:val="231F20"/>
          <w:spacing w:val="21"/>
        </w:rPr>
        <w:t> (“</w:t>
      </w:r>
      <w:r>
        <w:rPr>
          <w:b/>
          <w:color w:val="231F20"/>
        </w:rPr>
        <w:t>Ningxia</w:t>
      </w:r>
      <w:r>
        <w:rPr>
          <w:b/>
          <w:color w:val="231F20"/>
          <w:spacing w:val="67"/>
        </w:rPr>
        <w:t> </w:t>
      </w:r>
      <w:r>
        <w:rPr>
          <w:b/>
          <w:color w:val="231F20"/>
        </w:rPr>
        <w:t>Jihong</w:t>
      </w:r>
      <w:r>
        <w:rPr>
          <w:color w:val="231F20"/>
          <w:spacing w:val="16"/>
        </w:rPr>
        <w:t>”), </w:t>
      </w:r>
      <w:r>
        <w:rPr>
          <w:color w:val="231F20"/>
        </w:rPr>
        <w:t>Huanggang</w:t>
      </w:r>
      <w:r>
        <w:rPr>
          <w:color w:val="231F20"/>
          <w:spacing w:val="67"/>
        </w:rPr>
        <w:t> </w:t>
      </w:r>
      <w:r>
        <w:rPr>
          <w:color w:val="231F20"/>
        </w:rPr>
        <w:t>Jihong</w:t>
      </w:r>
      <w:r>
        <w:rPr>
          <w:color w:val="231F20"/>
          <w:spacing w:val="67"/>
        </w:rPr>
        <w:t> </w:t>
      </w:r>
      <w:r>
        <w:rPr>
          <w:color w:val="231F20"/>
        </w:rPr>
        <w:t>Packaging</w:t>
      </w:r>
      <w:r>
        <w:rPr>
          <w:color w:val="231F20"/>
          <w:spacing w:val="67"/>
        </w:rPr>
        <w:t> </w:t>
      </w:r>
      <w:r>
        <w:rPr>
          <w:color w:val="231F20"/>
        </w:rPr>
        <w:t>Limited*</w:t>
      </w:r>
      <w:r>
        <w:rPr>
          <w:color w:val="231F20"/>
          <w:spacing w:val="33"/>
        </w:rPr>
        <w:t> (</w:t>
      </w:r>
      <w:r>
        <w:rPr>
          <w:rFonts w:ascii="新細明體" w:hAnsi="新細明體" w:eastAsia="新細明體"/>
          <w:color w:val="231F20"/>
        </w:rPr>
        <w:t>黃岡市吉宏包裝有限公司</w:t>
      </w:r>
      <w:r>
        <w:rPr>
          <w:color w:val="231F20"/>
          <w:spacing w:val="10"/>
        </w:rPr>
        <w:t>) (“</w:t>
      </w:r>
      <w:r>
        <w:rPr>
          <w:b/>
          <w:color w:val="231F20"/>
        </w:rPr>
        <w:t>Huanggang</w:t>
      </w:r>
      <w:r>
        <w:rPr>
          <w:b/>
          <w:color w:val="231F20"/>
          <w:spacing w:val="40"/>
        </w:rPr>
        <w:t> </w:t>
      </w:r>
      <w:r>
        <w:rPr>
          <w:b/>
          <w:color w:val="231F20"/>
        </w:rPr>
        <w:t>Jihong</w:t>
      </w:r>
      <w:r>
        <w:rPr>
          <w:color w:val="231F20"/>
          <w:spacing w:val="10"/>
        </w:rPr>
        <w:t>”), </w:t>
      </w:r>
      <w:r>
        <w:rPr>
          <w:color w:val="231F20"/>
        </w:rPr>
        <w:t>Luanzhou</w:t>
      </w:r>
      <w:r>
        <w:rPr>
          <w:color w:val="231F20"/>
          <w:spacing w:val="40"/>
        </w:rPr>
        <w:t> </w:t>
      </w:r>
      <w:r>
        <w:rPr>
          <w:color w:val="231F20"/>
        </w:rPr>
        <w:t>Jihong</w:t>
      </w:r>
      <w:r>
        <w:rPr>
          <w:color w:val="231F20"/>
          <w:spacing w:val="40"/>
        </w:rPr>
        <w:t> </w:t>
      </w:r>
      <w:r>
        <w:rPr>
          <w:color w:val="231F20"/>
        </w:rPr>
        <w:t>Packaging</w:t>
      </w:r>
      <w:r>
        <w:rPr>
          <w:color w:val="231F20"/>
          <w:spacing w:val="40"/>
        </w:rPr>
        <w:t> </w:t>
      </w:r>
      <w:r>
        <w:rPr>
          <w:color w:val="231F20"/>
        </w:rPr>
        <w:t>Limited*</w:t>
      </w:r>
      <w:r>
        <w:rPr>
          <w:color w:val="231F20"/>
          <w:spacing w:val="20"/>
        </w:rPr>
        <w:t> (</w:t>
      </w:r>
      <w:r>
        <w:rPr>
          <w:rFonts w:ascii="新細明體" w:hAnsi="新細明體" w:eastAsia="新細明體"/>
          <w:color w:val="231F20"/>
        </w:rPr>
        <w:t>灤州吉宏包裝有限公司</w:t>
      </w:r>
      <w:r>
        <w:rPr>
          <w:color w:val="231F20"/>
        </w:rPr>
        <w:t>) (“</w:t>
      </w:r>
      <w:r>
        <w:rPr>
          <w:b/>
          <w:color w:val="231F20"/>
        </w:rPr>
        <w:t>Luanzhou Jihong</w:t>
      </w:r>
      <w:r>
        <w:rPr>
          <w:color w:val="231F20"/>
        </w:rPr>
        <w:t>”), Jinan Jihong Packaging Limited* (</w:t>
      </w:r>
      <w:r>
        <w:rPr>
          <w:rFonts w:ascii="新細明體" w:hAnsi="新細明體" w:eastAsia="新細明體"/>
          <w:color w:val="231F20"/>
        </w:rPr>
        <w:t>濟南吉聯包裝有限公司</w:t>
      </w:r>
      <w:r>
        <w:rPr>
          <w:color w:val="231F20"/>
        </w:rPr>
        <w:t>) (“</w:t>
      </w:r>
      <w:r>
        <w:rPr>
          <w:b/>
          <w:color w:val="231F20"/>
        </w:rPr>
        <w:t>Jinan</w:t>
      </w:r>
      <w:r>
        <w:rPr>
          <w:b/>
          <w:color w:val="231F20"/>
        </w:rPr>
        <w:t> Jilian</w:t>
      </w:r>
      <w:r>
        <w:rPr>
          <w:color w:val="231F20"/>
        </w:rPr>
        <w:t>”), Shaanxi</w:t>
      </w:r>
      <w:r>
        <w:rPr>
          <w:color w:val="231F20"/>
          <w:spacing w:val="40"/>
        </w:rPr>
        <w:t> </w:t>
      </w:r>
      <w:r>
        <w:rPr>
          <w:color w:val="231F20"/>
        </w:rPr>
        <w:t>Jihong</w:t>
      </w:r>
      <w:r>
        <w:rPr>
          <w:color w:val="231F20"/>
          <w:spacing w:val="40"/>
        </w:rPr>
        <w:t> </w:t>
      </w:r>
      <w:r>
        <w:rPr>
          <w:color w:val="231F20"/>
        </w:rPr>
        <w:t>Packaging</w:t>
      </w:r>
      <w:r>
        <w:rPr>
          <w:color w:val="231F20"/>
          <w:spacing w:val="40"/>
        </w:rPr>
        <w:t> </w:t>
      </w:r>
      <w:r>
        <w:rPr>
          <w:color w:val="231F20"/>
        </w:rPr>
        <w:t>Limited*</w:t>
      </w:r>
      <w:r>
        <w:rPr>
          <w:color w:val="231F20"/>
          <w:spacing w:val="20"/>
        </w:rPr>
        <w:t> (</w:t>
      </w:r>
      <w:r>
        <w:rPr>
          <w:rFonts w:ascii="新細明體" w:hAnsi="新細明體" w:eastAsia="新細明體"/>
          <w:color w:val="231F20"/>
        </w:rPr>
        <w:t>陝西吉宏包裝有限公司</w:t>
      </w:r>
      <w:r>
        <w:rPr>
          <w:color w:val="231F20"/>
          <w:spacing w:val="10"/>
        </w:rPr>
        <w:t>) (“</w:t>
      </w:r>
      <w:r>
        <w:rPr>
          <w:b/>
          <w:color w:val="231F20"/>
        </w:rPr>
        <w:t>Shaanxi</w:t>
      </w:r>
      <w:r>
        <w:rPr>
          <w:b/>
          <w:color w:val="231F20"/>
          <w:spacing w:val="40"/>
        </w:rPr>
        <w:t> </w:t>
      </w:r>
      <w:r>
        <w:rPr>
          <w:b/>
          <w:color w:val="231F20"/>
        </w:rPr>
        <w:t>Jihong</w:t>
      </w:r>
      <w:r>
        <w:rPr>
          <w:color w:val="231F20"/>
          <w:spacing w:val="13"/>
        </w:rPr>
        <w:t>”) </w:t>
      </w:r>
      <w:r>
        <w:rPr>
          <w:color w:val="231F20"/>
        </w:rPr>
        <w:t>and</w:t>
      </w:r>
      <w:r>
        <w:rPr>
          <w:color w:val="231F20"/>
          <w:spacing w:val="40"/>
        </w:rPr>
        <w:t> </w:t>
      </w:r>
      <w:r>
        <w:rPr>
          <w:color w:val="231F20"/>
        </w:rPr>
        <w:t>Giikin</w:t>
      </w:r>
      <w:r>
        <w:rPr>
          <w:color w:val="231F20"/>
          <w:spacing w:val="40"/>
        </w:rPr>
        <w:t> </w:t>
      </w:r>
      <w:r>
        <w:rPr>
          <w:color w:val="231F20"/>
        </w:rPr>
        <w:t>(Xi’an) Digital Technology Co., Limited* (</w:t>
      </w:r>
      <w:r>
        <w:rPr>
          <w:rFonts w:ascii="新細明體" w:hAnsi="新細明體" w:eastAsia="新細明體"/>
          <w:color w:val="231F20"/>
        </w:rPr>
        <w:t>吉客印</w:t>
      </w:r>
      <w:r>
        <w:rPr>
          <w:color w:val="231F20"/>
        </w:rPr>
        <w:t>(</w:t>
      </w:r>
      <w:r>
        <w:rPr>
          <w:rFonts w:ascii="新細明體" w:hAnsi="新細明體" w:eastAsia="新細明體"/>
          <w:color w:val="231F20"/>
        </w:rPr>
        <w:t>西安</w:t>
      </w:r>
      <w:r>
        <w:rPr>
          <w:color w:val="231F20"/>
        </w:rPr>
        <w:t>)</w:t>
      </w:r>
      <w:r>
        <w:rPr>
          <w:rFonts w:ascii="新細明體" w:hAnsi="新細明體" w:eastAsia="新細明體"/>
          <w:color w:val="231F20"/>
        </w:rPr>
        <w:t>數字科技有限公司</w:t>
      </w:r>
      <w:r>
        <w:rPr>
          <w:color w:val="231F20"/>
        </w:rPr>
        <w:t>) (“</w:t>
      </w:r>
      <w:r>
        <w:rPr>
          <w:b/>
          <w:color w:val="231F20"/>
        </w:rPr>
        <w:t>Xi’an Giikin</w:t>
      </w:r>
      <w:r>
        <w:rPr>
          <w:color w:val="231F20"/>
        </w:rPr>
        <w:t>”). A new performance guarantee amount of RMB250 million is expected to be provided by the Company to the Guaranteed Parties.</w:t>
      </w:r>
      <w:r>
        <w:rPr>
          <w:color w:val="231F20"/>
          <w:spacing w:val="40"/>
        </w:rPr>
        <w:t> </w:t>
      </w:r>
      <w:r>
        <w:rPr>
          <w:color w:val="231F20"/>
        </w:rPr>
        <w:t>This</w:t>
      </w:r>
      <w:r>
        <w:rPr>
          <w:color w:val="231F20"/>
          <w:spacing w:val="40"/>
        </w:rPr>
        <w:t> </w:t>
      </w:r>
      <w:r>
        <w:rPr>
          <w:color w:val="231F20"/>
        </w:rPr>
        <w:t>performance</w:t>
      </w:r>
      <w:r>
        <w:rPr>
          <w:color w:val="231F20"/>
          <w:spacing w:val="40"/>
        </w:rPr>
        <w:t> </w:t>
      </w:r>
      <w:r>
        <w:rPr>
          <w:color w:val="231F20"/>
        </w:rPr>
        <w:t>guarantee</w:t>
      </w:r>
      <w:r>
        <w:rPr>
          <w:color w:val="231F20"/>
          <w:spacing w:val="40"/>
        </w:rPr>
        <w:t> </w:t>
      </w:r>
      <w:r>
        <w:rPr>
          <w:color w:val="231F20"/>
        </w:rPr>
        <w:t>amount</w:t>
      </w:r>
      <w:r>
        <w:rPr>
          <w:color w:val="231F20"/>
          <w:spacing w:val="40"/>
        </w:rPr>
        <w:t> </w:t>
      </w:r>
      <w:r>
        <w:rPr>
          <w:color w:val="231F20"/>
        </w:rPr>
        <w:t>does</w:t>
      </w:r>
      <w:r>
        <w:rPr>
          <w:color w:val="231F20"/>
          <w:spacing w:val="40"/>
        </w:rPr>
        <w:t> </w:t>
      </w:r>
      <w:r>
        <w:rPr>
          <w:color w:val="231F20"/>
        </w:rPr>
        <w:t>not</w:t>
      </w:r>
      <w:r>
        <w:rPr>
          <w:color w:val="231F20"/>
          <w:spacing w:val="40"/>
        </w:rPr>
        <w:t> </w:t>
      </w:r>
      <w:r>
        <w:rPr>
          <w:color w:val="231F20"/>
        </w:rPr>
        <w:t>include</w:t>
      </w:r>
      <w:r>
        <w:rPr>
          <w:color w:val="231F20"/>
          <w:spacing w:val="40"/>
        </w:rPr>
        <w:t> </w:t>
      </w:r>
      <w:r>
        <w:rPr>
          <w:color w:val="231F20"/>
        </w:rPr>
        <w:t>guarantees</w:t>
      </w:r>
      <w:r>
        <w:rPr>
          <w:color w:val="231F20"/>
          <w:spacing w:val="40"/>
        </w:rPr>
        <w:t> </w:t>
      </w:r>
      <w:r>
        <w:rPr>
          <w:color w:val="231F20"/>
        </w:rPr>
        <w:t>previously</w:t>
      </w:r>
      <w:r>
        <w:rPr>
          <w:color w:val="231F20"/>
          <w:spacing w:val="40"/>
        </w:rPr>
        <w:t> </w:t>
      </w:r>
      <w:r>
        <w:rPr>
          <w:color w:val="231F20"/>
        </w:rPr>
        <w:t>approved</w:t>
      </w:r>
      <w:r>
        <w:rPr>
          <w:color w:val="231F20"/>
          <w:spacing w:val="40"/>
        </w:rPr>
        <w:t> </w:t>
      </w:r>
      <w:r>
        <w:rPr>
          <w:color w:val="231F20"/>
        </w:rPr>
        <w:t>and</w:t>
      </w:r>
      <w:r>
        <w:rPr>
          <w:color w:val="231F20"/>
          <w:spacing w:val="40"/>
        </w:rPr>
        <w:t> </w:t>
      </w:r>
      <w:r>
        <w:rPr>
          <w:color w:val="231F20"/>
        </w:rPr>
        <w:t>still</w:t>
      </w:r>
      <w:r>
        <w:rPr>
          <w:color w:val="231F20"/>
          <w:spacing w:val="40"/>
        </w:rPr>
        <w:t> </w:t>
      </w:r>
      <w:r>
        <w:rPr>
          <w:color w:val="231F20"/>
        </w:rPr>
        <w:t>valid.</w:t>
      </w:r>
    </w:p>
    <w:p>
      <w:pPr>
        <w:pStyle w:val="BodyText"/>
        <w:spacing w:before="87"/>
      </w:pPr>
    </w:p>
    <w:p>
      <w:pPr>
        <w:pStyle w:val="BodyText"/>
        <w:spacing w:line="292" w:lineRule="auto"/>
        <w:ind w:left="142" w:right="131" w:firstLine="567"/>
        <w:jc w:val="both"/>
      </w:pPr>
      <w:r>
        <w:rPr>
          <w:color w:val="231F20"/>
        </w:rPr>
        <w:t>All of the Company’s external guarantees are guarantees conducted between the parent and its</w:t>
      </w:r>
      <w:r>
        <w:rPr>
          <w:color w:val="231F20"/>
          <w:spacing w:val="40"/>
        </w:rPr>
        <w:t> </w:t>
      </w:r>
      <w:r>
        <w:rPr>
          <w:color w:val="231F20"/>
        </w:rPr>
        <w:t>subsidiaries</w:t>
      </w:r>
      <w:r>
        <w:rPr>
          <w:color w:val="231F20"/>
          <w:spacing w:val="40"/>
        </w:rPr>
        <w:t> </w:t>
      </w:r>
      <w:r>
        <w:rPr>
          <w:color w:val="231F20"/>
        </w:rPr>
        <w:t>within</w:t>
      </w:r>
      <w:r>
        <w:rPr>
          <w:color w:val="231F20"/>
          <w:spacing w:val="40"/>
        </w:rPr>
        <w:t> </w:t>
      </w:r>
      <w:r>
        <w:rPr>
          <w:color w:val="231F20"/>
        </w:rPr>
        <w:t>the</w:t>
      </w:r>
      <w:r>
        <w:rPr>
          <w:color w:val="231F20"/>
          <w:spacing w:val="40"/>
        </w:rPr>
        <w:t> </w:t>
      </w:r>
      <w:r>
        <w:rPr>
          <w:color w:val="231F20"/>
        </w:rPr>
        <w:t>scope</w:t>
      </w:r>
      <w:r>
        <w:rPr>
          <w:color w:val="231F20"/>
          <w:spacing w:val="40"/>
        </w:rPr>
        <w:t> </w:t>
      </w:r>
      <w:r>
        <w:rPr>
          <w:color w:val="231F20"/>
        </w:rPr>
        <w:t>of</w:t>
      </w:r>
      <w:r>
        <w:rPr>
          <w:color w:val="231F20"/>
          <w:spacing w:val="40"/>
        </w:rPr>
        <w:t> </w:t>
      </w:r>
      <w:r>
        <w:rPr>
          <w:color w:val="231F20"/>
        </w:rPr>
        <w:t>consolidated</w:t>
      </w:r>
      <w:r>
        <w:rPr>
          <w:color w:val="231F20"/>
          <w:spacing w:val="40"/>
        </w:rPr>
        <w:t> </w:t>
      </w:r>
      <w:r>
        <w:rPr>
          <w:color w:val="231F20"/>
        </w:rPr>
        <w:t>statements,</w:t>
      </w:r>
      <w:r>
        <w:rPr>
          <w:color w:val="231F20"/>
          <w:spacing w:val="40"/>
        </w:rPr>
        <w:t> </w:t>
      </w:r>
      <w:r>
        <w:rPr>
          <w:color w:val="231F20"/>
        </w:rPr>
        <w:t>and</w:t>
      </w:r>
      <w:r>
        <w:rPr>
          <w:color w:val="231F20"/>
          <w:spacing w:val="40"/>
        </w:rPr>
        <w:t> </w:t>
      </w:r>
      <w:r>
        <w:rPr>
          <w:color w:val="231F20"/>
        </w:rPr>
        <w:t>there</w:t>
      </w:r>
      <w:r>
        <w:rPr>
          <w:color w:val="231F20"/>
          <w:spacing w:val="40"/>
        </w:rPr>
        <w:t> </w:t>
      </w:r>
      <w:r>
        <w:rPr>
          <w:color w:val="231F20"/>
        </w:rPr>
        <w:t>are</w:t>
      </w:r>
      <w:r>
        <w:rPr>
          <w:color w:val="231F20"/>
          <w:spacing w:val="40"/>
        </w:rPr>
        <w:t> </w:t>
      </w:r>
      <w:r>
        <w:rPr>
          <w:color w:val="231F20"/>
        </w:rPr>
        <w:t>no</w:t>
      </w:r>
      <w:r>
        <w:rPr>
          <w:color w:val="231F20"/>
          <w:spacing w:val="40"/>
        </w:rPr>
        <w:t> </w:t>
      </w:r>
      <w:r>
        <w:rPr>
          <w:color w:val="231F20"/>
        </w:rPr>
        <w:t>other</w:t>
      </w:r>
      <w:r>
        <w:rPr>
          <w:color w:val="231F20"/>
          <w:spacing w:val="40"/>
        </w:rPr>
        <w:t> </w:t>
      </w:r>
      <w:r>
        <w:rPr>
          <w:color w:val="231F20"/>
        </w:rPr>
        <w:t>external</w:t>
      </w:r>
      <w:r>
        <w:rPr>
          <w:color w:val="231F20"/>
          <w:spacing w:val="40"/>
        </w:rPr>
        <w:t> </w:t>
      </w:r>
      <w:r>
        <w:rPr>
          <w:color w:val="231F20"/>
        </w:rPr>
        <w:t>guarantees.</w:t>
      </w:r>
      <w:r>
        <w:rPr>
          <w:color w:val="231F20"/>
          <w:spacing w:val="40"/>
        </w:rPr>
        <w:t> </w:t>
      </w:r>
      <w:r>
        <w:rPr>
          <w:color w:val="231F20"/>
        </w:rPr>
        <w:t>The total</w:t>
      </w:r>
      <w:r>
        <w:rPr>
          <w:color w:val="231F20"/>
          <w:spacing w:val="23"/>
        </w:rPr>
        <w:t> </w:t>
      </w:r>
      <w:r>
        <w:rPr>
          <w:color w:val="231F20"/>
        </w:rPr>
        <w:t>amount</w:t>
      </w:r>
      <w:r>
        <w:rPr>
          <w:color w:val="231F20"/>
          <w:spacing w:val="23"/>
        </w:rPr>
        <w:t> </w:t>
      </w:r>
      <w:r>
        <w:rPr>
          <w:color w:val="231F20"/>
        </w:rPr>
        <w:t>of</w:t>
      </w:r>
      <w:r>
        <w:rPr>
          <w:color w:val="231F20"/>
          <w:spacing w:val="23"/>
        </w:rPr>
        <w:t> </w:t>
      </w:r>
      <w:r>
        <w:rPr>
          <w:color w:val="231F20"/>
        </w:rPr>
        <w:t>guarantees</w:t>
      </w:r>
      <w:r>
        <w:rPr>
          <w:color w:val="231F20"/>
          <w:spacing w:val="23"/>
        </w:rPr>
        <w:t> </w:t>
      </w:r>
      <w:r>
        <w:rPr>
          <w:color w:val="231F20"/>
        </w:rPr>
        <w:t>within</w:t>
      </w:r>
      <w:r>
        <w:rPr>
          <w:color w:val="231F20"/>
          <w:spacing w:val="23"/>
        </w:rPr>
        <w:t> </w:t>
      </w:r>
      <w:r>
        <w:rPr>
          <w:color w:val="231F20"/>
        </w:rPr>
        <w:t>the</w:t>
      </w:r>
      <w:r>
        <w:rPr>
          <w:color w:val="231F20"/>
          <w:spacing w:val="23"/>
        </w:rPr>
        <w:t> </w:t>
      </w:r>
      <w:r>
        <w:rPr>
          <w:color w:val="231F20"/>
        </w:rPr>
        <w:t>scope</w:t>
      </w:r>
      <w:r>
        <w:rPr>
          <w:color w:val="231F20"/>
          <w:spacing w:val="23"/>
        </w:rPr>
        <w:t> </w:t>
      </w:r>
      <w:r>
        <w:rPr>
          <w:color w:val="231F20"/>
        </w:rPr>
        <w:t>of</w:t>
      </w:r>
      <w:r>
        <w:rPr>
          <w:color w:val="231F20"/>
          <w:spacing w:val="23"/>
        </w:rPr>
        <w:t> </w:t>
      </w:r>
      <w:r>
        <w:rPr>
          <w:color w:val="231F20"/>
        </w:rPr>
        <w:t>consolidated</w:t>
      </w:r>
      <w:r>
        <w:rPr>
          <w:color w:val="231F20"/>
          <w:spacing w:val="23"/>
        </w:rPr>
        <w:t> </w:t>
      </w:r>
      <w:r>
        <w:rPr>
          <w:color w:val="231F20"/>
        </w:rPr>
        <w:t>statements</w:t>
      </w:r>
      <w:r>
        <w:rPr>
          <w:color w:val="231F20"/>
          <w:spacing w:val="23"/>
        </w:rPr>
        <w:t> </w:t>
      </w:r>
      <w:r>
        <w:rPr>
          <w:color w:val="231F20"/>
        </w:rPr>
        <w:t>for</w:t>
      </w:r>
      <w:r>
        <w:rPr>
          <w:color w:val="231F20"/>
          <w:spacing w:val="23"/>
        </w:rPr>
        <w:t> </w:t>
      </w:r>
      <w:r>
        <w:rPr>
          <w:color w:val="231F20"/>
        </w:rPr>
        <w:t>2025</w:t>
      </w:r>
      <w:r>
        <w:rPr>
          <w:color w:val="231F20"/>
          <w:spacing w:val="23"/>
        </w:rPr>
        <w:t> </w:t>
      </w:r>
      <w:r>
        <w:rPr>
          <w:color w:val="231F20"/>
        </w:rPr>
        <w:t>is</w:t>
      </w:r>
      <w:r>
        <w:rPr>
          <w:color w:val="231F20"/>
          <w:spacing w:val="23"/>
        </w:rPr>
        <w:t> </w:t>
      </w:r>
      <w:r>
        <w:rPr>
          <w:color w:val="231F20"/>
        </w:rPr>
        <w:t>expected</w:t>
      </w:r>
      <w:r>
        <w:rPr>
          <w:color w:val="231F20"/>
          <w:spacing w:val="23"/>
        </w:rPr>
        <w:t> </w:t>
      </w:r>
      <w:r>
        <w:rPr>
          <w:color w:val="231F20"/>
        </w:rPr>
        <w:t>to</w:t>
      </w:r>
      <w:r>
        <w:rPr>
          <w:color w:val="231F20"/>
          <w:spacing w:val="23"/>
        </w:rPr>
        <w:t> </w:t>
      </w:r>
      <w:r>
        <w:rPr>
          <w:color w:val="231F20"/>
        </w:rPr>
        <w:t>exceed</w:t>
      </w:r>
      <w:r>
        <w:rPr>
          <w:color w:val="231F20"/>
          <w:spacing w:val="23"/>
        </w:rPr>
        <w:t> </w:t>
      </w:r>
      <w:r>
        <w:rPr>
          <w:color w:val="231F20"/>
        </w:rPr>
        <w:t>100% of the latest audited net assets. The liabilities-to-assets ratio of Shaanxi Jihong, the newly added </w:t>
      </w:r>
      <w:r>
        <w:rPr>
          <w:color w:val="231F20"/>
        </w:rPr>
        <w:t>guaranteed subsidiary, exceeds 70%. Investors are advised to pay full attention to the risks associated with the guarantees.</w:t>
      </w:r>
    </w:p>
    <w:p>
      <w:pPr>
        <w:pStyle w:val="BodyText"/>
        <w:spacing w:after="0" w:line="292" w:lineRule="auto"/>
        <w:jc w:val="both"/>
        <w:sectPr>
          <w:pgSz w:w="11910" w:h="15880"/>
          <w:pgMar w:header="567" w:footer="573" w:top="1300" w:bottom="760" w:left="1275" w:right="1275"/>
        </w:sectPr>
      </w:pPr>
    </w:p>
    <w:p>
      <w:pPr>
        <w:pStyle w:val="BodyText"/>
        <w:spacing w:before="144"/>
      </w:pPr>
    </w:p>
    <w:p>
      <w:pPr>
        <w:pStyle w:val="ListParagraph"/>
        <w:numPr>
          <w:ilvl w:val="0"/>
          <w:numId w:val="7"/>
        </w:numPr>
        <w:tabs>
          <w:tab w:pos="1276" w:val="left" w:leader="none"/>
        </w:tabs>
        <w:spacing w:line="240" w:lineRule="auto" w:before="1" w:after="0"/>
        <w:ind w:left="1276" w:right="0" w:hanging="567"/>
        <w:jc w:val="left"/>
        <w:rPr>
          <w:b/>
          <w:sz w:val="20"/>
        </w:rPr>
      </w:pPr>
      <w:r>
        <w:rPr>
          <w:b/>
          <w:color w:val="231F20"/>
          <w:sz w:val="20"/>
        </w:rPr>
        <w:t>Overview</w:t>
      </w:r>
      <w:r>
        <w:rPr>
          <w:b/>
          <w:color w:val="231F20"/>
          <w:spacing w:val="26"/>
          <w:sz w:val="20"/>
        </w:rPr>
        <w:t> </w:t>
      </w:r>
      <w:r>
        <w:rPr>
          <w:b/>
          <w:color w:val="231F20"/>
          <w:sz w:val="20"/>
        </w:rPr>
        <w:t>of</w:t>
      </w:r>
      <w:r>
        <w:rPr>
          <w:b/>
          <w:color w:val="231F20"/>
          <w:spacing w:val="27"/>
          <w:sz w:val="20"/>
        </w:rPr>
        <w:t> </w:t>
      </w:r>
      <w:r>
        <w:rPr>
          <w:b/>
          <w:color w:val="231F20"/>
          <w:sz w:val="20"/>
        </w:rPr>
        <w:t>the</w:t>
      </w:r>
      <w:r>
        <w:rPr>
          <w:b/>
          <w:color w:val="231F20"/>
          <w:spacing w:val="27"/>
          <w:sz w:val="20"/>
        </w:rPr>
        <w:t> </w:t>
      </w:r>
      <w:r>
        <w:rPr>
          <w:b/>
          <w:color w:val="231F20"/>
          <w:spacing w:val="-2"/>
          <w:sz w:val="20"/>
        </w:rPr>
        <w:t>Guarantee</w:t>
      </w:r>
    </w:p>
    <w:p>
      <w:pPr>
        <w:pStyle w:val="BodyText"/>
        <w:spacing w:before="100"/>
        <w:rPr>
          <w:b/>
        </w:rPr>
      </w:pPr>
    </w:p>
    <w:p>
      <w:pPr>
        <w:pStyle w:val="Heading5"/>
        <w:numPr>
          <w:ilvl w:val="1"/>
          <w:numId w:val="7"/>
        </w:numPr>
        <w:tabs>
          <w:tab w:pos="1843" w:val="left" w:leader="none"/>
        </w:tabs>
        <w:spacing w:line="240" w:lineRule="auto" w:before="0" w:after="0"/>
        <w:ind w:left="1843" w:right="0" w:hanging="567"/>
        <w:jc w:val="left"/>
        <w:rPr>
          <w:i/>
        </w:rPr>
      </w:pPr>
      <w:r>
        <w:rPr>
          <w:i/>
          <w:color w:val="231F20"/>
          <w:w w:val="105"/>
        </w:rPr>
        <w:t>Basic</w:t>
      </w:r>
      <w:r>
        <w:rPr>
          <w:i/>
          <w:color w:val="231F20"/>
          <w:spacing w:val="23"/>
          <w:w w:val="105"/>
        </w:rPr>
        <w:t> </w:t>
      </w:r>
      <w:r>
        <w:rPr>
          <w:i/>
          <w:color w:val="231F20"/>
          <w:w w:val="105"/>
        </w:rPr>
        <w:t>Information</w:t>
      </w:r>
      <w:r>
        <w:rPr>
          <w:i/>
          <w:color w:val="231F20"/>
          <w:spacing w:val="23"/>
          <w:w w:val="105"/>
        </w:rPr>
        <w:t> </w:t>
      </w:r>
      <w:r>
        <w:rPr>
          <w:i/>
          <w:color w:val="231F20"/>
          <w:w w:val="105"/>
        </w:rPr>
        <w:t>on</w:t>
      </w:r>
      <w:r>
        <w:rPr>
          <w:i/>
          <w:color w:val="231F20"/>
          <w:spacing w:val="23"/>
          <w:w w:val="105"/>
        </w:rPr>
        <w:t> </w:t>
      </w:r>
      <w:r>
        <w:rPr>
          <w:i/>
          <w:color w:val="231F20"/>
          <w:w w:val="105"/>
        </w:rPr>
        <w:t>the</w:t>
      </w:r>
      <w:r>
        <w:rPr>
          <w:i/>
          <w:color w:val="231F20"/>
          <w:spacing w:val="23"/>
          <w:w w:val="105"/>
        </w:rPr>
        <w:t> </w:t>
      </w:r>
      <w:r>
        <w:rPr>
          <w:i/>
          <w:color w:val="231F20"/>
          <w:w w:val="105"/>
        </w:rPr>
        <w:t>Previous</w:t>
      </w:r>
      <w:r>
        <w:rPr>
          <w:i/>
          <w:color w:val="231F20"/>
          <w:spacing w:val="23"/>
          <w:w w:val="105"/>
        </w:rPr>
        <w:t> </w:t>
      </w:r>
      <w:r>
        <w:rPr>
          <w:i/>
          <w:color w:val="231F20"/>
          <w:w w:val="105"/>
        </w:rPr>
        <w:t>Estimated</w:t>
      </w:r>
      <w:r>
        <w:rPr>
          <w:i/>
          <w:color w:val="231F20"/>
          <w:spacing w:val="24"/>
          <w:w w:val="105"/>
        </w:rPr>
        <w:t> </w:t>
      </w:r>
      <w:r>
        <w:rPr>
          <w:i/>
          <w:color w:val="231F20"/>
          <w:w w:val="105"/>
        </w:rPr>
        <w:t>Guarantee</w:t>
      </w:r>
      <w:r>
        <w:rPr>
          <w:i/>
          <w:color w:val="231F20"/>
          <w:spacing w:val="23"/>
          <w:w w:val="105"/>
        </w:rPr>
        <w:t> </w:t>
      </w:r>
      <w:r>
        <w:rPr>
          <w:i/>
          <w:color w:val="231F20"/>
          <w:spacing w:val="-2"/>
          <w:w w:val="105"/>
        </w:rPr>
        <w:t>Amount</w:t>
      </w:r>
    </w:p>
    <w:p>
      <w:pPr>
        <w:pStyle w:val="BodyText"/>
        <w:spacing w:before="100"/>
        <w:rPr>
          <w:b/>
          <w:i/>
        </w:rPr>
      </w:pPr>
    </w:p>
    <w:p>
      <w:pPr>
        <w:pStyle w:val="BodyText"/>
        <w:spacing w:line="292" w:lineRule="auto"/>
        <w:ind w:left="1276" w:right="134" w:firstLine="567"/>
        <w:jc w:val="both"/>
      </w:pPr>
      <w:r>
        <w:rPr>
          <w:color w:val="231F20"/>
        </w:rPr>
        <w:t>At</w:t>
      </w:r>
      <w:r>
        <w:rPr>
          <w:color w:val="231F20"/>
          <w:spacing w:val="38"/>
        </w:rPr>
        <w:t> </w:t>
      </w:r>
      <w:r>
        <w:rPr>
          <w:color w:val="231F20"/>
        </w:rPr>
        <w:t>the</w:t>
      </w:r>
      <w:r>
        <w:rPr>
          <w:color w:val="231F20"/>
          <w:spacing w:val="38"/>
        </w:rPr>
        <w:t> </w:t>
      </w:r>
      <w:r>
        <w:rPr>
          <w:color w:val="231F20"/>
        </w:rPr>
        <w:t>26th</w:t>
      </w:r>
      <w:r>
        <w:rPr>
          <w:color w:val="231F20"/>
          <w:spacing w:val="38"/>
        </w:rPr>
        <w:t> </w:t>
      </w:r>
      <w:r>
        <w:rPr>
          <w:color w:val="231F20"/>
        </w:rPr>
        <w:t>meeting</w:t>
      </w:r>
      <w:r>
        <w:rPr>
          <w:color w:val="231F20"/>
          <w:spacing w:val="38"/>
        </w:rPr>
        <w:t> </w:t>
      </w:r>
      <w:r>
        <w:rPr>
          <w:color w:val="231F20"/>
        </w:rPr>
        <w:t>of</w:t>
      </w:r>
      <w:r>
        <w:rPr>
          <w:color w:val="231F20"/>
          <w:spacing w:val="38"/>
        </w:rPr>
        <w:t> </w:t>
      </w:r>
      <w:r>
        <w:rPr>
          <w:color w:val="231F20"/>
        </w:rPr>
        <w:t>the</w:t>
      </w:r>
      <w:r>
        <w:rPr>
          <w:color w:val="231F20"/>
          <w:spacing w:val="38"/>
        </w:rPr>
        <w:t> </w:t>
      </w:r>
      <w:r>
        <w:rPr>
          <w:color w:val="231F20"/>
        </w:rPr>
        <w:t>fifth</w:t>
      </w:r>
      <w:r>
        <w:rPr>
          <w:color w:val="231F20"/>
          <w:spacing w:val="38"/>
        </w:rPr>
        <w:t> </w:t>
      </w:r>
      <w:r>
        <w:rPr>
          <w:color w:val="231F20"/>
        </w:rPr>
        <w:t>session</w:t>
      </w:r>
      <w:r>
        <w:rPr>
          <w:color w:val="231F20"/>
          <w:spacing w:val="38"/>
        </w:rPr>
        <w:t> </w:t>
      </w:r>
      <w:r>
        <w:rPr>
          <w:color w:val="231F20"/>
        </w:rPr>
        <w:t>of</w:t>
      </w:r>
      <w:r>
        <w:rPr>
          <w:color w:val="231F20"/>
          <w:spacing w:val="38"/>
        </w:rPr>
        <w:t> </w:t>
      </w:r>
      <w:r>
        <w:rPr>
          <w:color w:val="231F20"/>
        </w:rPr>
        <w:t>the</w:t>
      </w:r>
      <w:r>
        <w:rPr>
          <w:color w:val="231F20"/>
          <w:spacing w:val="38"/>
        </w:rPr>
        <w:t> </w:t>
      </w:r>
      <w:r>
        <w:rPr>
          <w:color w:val="231F20"/>
        </w:rPr>
        <w:t>Board</w:t>
      </w:r>
      <w:r>
        <w:rPr>
          <w:color w:val="231F20"/>
          <w:spacing w:val="38"/>
        </w:rPr>
        <w:t> </w:t>
      </w:r>
      <w:r>
        <w:rPr>
          <w:color w:val="231F20"/>
        </w:rPr>
        <w:t>on</w:t>
      </w:r>
      <w:r>
        <w:rPr>
          <w:color w:val="231F20"/>
          <w:spacing w:val="38"/>
        </w:rPr>
        <w:t> </w:t>
      </w:r>
      <w:r>
        <w:rPr>
          <w:color w:val="231F20"/>
        </w:rPr>
        <w:t>April</w:t>
      </w:r>
      <w:r>
        <w:rPr>
          <w:color w:val="231F20"/>
          <w:spacing w:val="38"/>
        </w:rPr>
        <w:t> </w:t>
      </w:r>
      <w:r>
        <w:rPr>
          <w:color w:val="231F20"/>
        </w:rPr>
        <w:t>1,</w:t>
      </w:r>
      <w:r>
        <w:rPr>
          <w:color w:val="231F20"/>
          <w:spacing w:val="38"/>
        </w:rPr>
        <w:t> </w:t>
      </w:r>
      <w:r>
        <w:rPr>
          <w:color w:val="231F20"/>
        </w:rPr>
        <w:t>2025,</w:t>
      </w:r>
      <w:r>
        <w:rPr>
          <w:color w:val="231F20"/>
          <w:spacing w:val="38"/>
        </w:rPr>
        <w:t> </w:t>
      </w:r>
      <w:r>
        <w:rPr>
          <w:color w:val="231F20"/>
        </w:rPr>
        <w:t>and</w:t>
      </w:r>
      <w:r>
        <w:rPr>
          <w:color w:val="231F20"/>
          <w:spacing w:val="38"/>
        </w:rPr>
        <w:t> </w:t>
      </w:r>
      <w:r>
        <w:rPr>
          <w:color w:val="231F20"/>
        </w:rPr>
        <w:t>the</w:t>
      </w:r>
      <w:r>
        <w:rPr>
          <w:color w:val="231F20"/>
          <w:spacing w:val="38"/>
        </w:rPr>
        <w:t> </w:t>
      </w:r>
      <w:r>
        <w:rPr>
          <w:color w:val="231F20"/>
        </w:rPr>
        <w:t>2024 annual general meeting of the Company on April 25, 2025, the Board considered and approved</w:t>
      </w:r>
      <w:r>
        <w:rPr>
          <w:color w:val="231F20"/>
          <w:spacing w:val="80"/>
          <w:w w:val="150"/>
        </w:rPr>
        <w:t> </w:t>
      </w:r>
      <w:r>
        <w:rPr>
          <w:color w:val="231F20"/>
        </w:rPr>
        <w:t>the </w:t>
      </w:r>
      <w:r>
        <w:rPr>
          <w:i/>
          <w:color w:val="231F20"/>
        </w:rPr>
        <w:t>Proposal on the Estimated Guarantee Amount Provided for Financing and Performance by</w:t>
      </w:r>
      <w:r>
        <w:rPr>
          <w:i/>
          <w:color w:val="231F20"/>
        </w:rPr>
        <w:t> Subsidiaries in 2025</w:t>
      </w:r>
      <w:r>
        <w:rPr>
          <w:color w:val="231F20"/>
        </w:rPr>
        <w:t>, agreeing that the Company would, at the request of suppliers, provide guarantees</w:t>
      </w:r>
      <w:r>
        <w:rPr>
          <w:color w:val="231F20"/>
          <w:spacing w:val="40"/>
        </w:rPr>
        <w:t> </w:t>
      </w:r>
      <w:r>
        <w:rPr>
          <w:color w:val="231F20"/>
        </w:rPr>
        <w:t>for</w:t>
      </w:r>
      <w:r>
        <w:rPr>
          <w:color w:val="231F20"/>
          <w:spacing w:val="40"/>
        </w:rPr>
        <w:t> </w:t>
      </w:r>
      <w:r>
        <w:rPr>
          <w:color w:val="231F20"/>
        </w:rPr>
        <w:t>the</w:t>
      </w:r>
      <w:r>
        <w:rPr>
          <w:color w:val="231F20"/>
          <w:spacing w:val="40"/>
        </w:rPr>
        <w:t> </w:t>
      </w:r>
      <w:r>
        <w:rPr>
          <w:color w:val="231F20"/>
        </w:rPr>
        <w:t>performance</w:t>
      </w:r>
      <w:r>
        <w:rPr>
          <w:color w:val="231F20"/>
          <w:spacing w:val="40"/>
        </w:rPr>
        <w:t> </w:t>
      </w:r>
      <w:r>
        <w:rPr>
          <w:color w:val="231F20"/>
        </w:rPr>
        <w:t>of</w:t>
      </w:r>
      <w:r>
        <w:rPr>
          <w:color w:val="231F20"/>
          <w:spacing w:val="40"/>
        </w:rPr>
        <w:t> </w:t>
      </w:r>
      <w:r>
        <w:rPr>
          <w:color w:val="231F20"/>
        </w:rPr>
        <w:t>obligations</w:t>
      </w:r>
      <w:r>
        <w:rPr>
          <w:color w:val="231F20"/>
          <w:spacing w:val="40"/>
        </w:rPr>
        <w:t> </w:t>
      </w:r>
      <w:r>
        <w:rPr>
          <w:color w:val="231F20"/>
        </w:rPr>
        <w:t>under</w:t>
      </w:r>
      <w:r>
        <w:rPr>
          <w:color w:val="231F20"/>
          <w:spacing w:val="40"/>
        </w:rPr>
        <w:t> </w:t>
      </w:r>
      <w:r>
        <w:rPr>
          <w:color w:val="231F20"/>
        </w:rPr>
        <w:t>the</w:t>
      </w:r>
      <w:r>
        <w:rPr>
          <w:color w:val="231F20"/>
          <w:spacing w:val="40"/>
        </w:rPr>
        <w:t> </w:t>
      </w:r>
      <w:r>
        <w:rPr>
          <w:color w:val="231F20"/>
        </w:rPr>
        <w:t>raw</w:t>
      </w:r>
      <w:r>
        <w:rPr>
          <w:color w:val="231F20"/>
          <w:spacing w:val="40"/>
        </w:rPr>
        <w:t> </w:t>
      </w:r>
      <w:r>
        <w:rPr>
          <w:color w:val="231F20"/>
        </w:rPr>
        <w:t>material</w:t>
      </w:r>
      <w:r>
        <w:rPr>
          <w:color w:val="231F20"/>
          <w:spacing w:val="40"/>
        </w:rPr>
        <w:t> </w:t>
      </w:r>
      <w:r>
        <w:rPr>
          <w:color w:val="231F20"/>
        </w:rPr>
        <w:t>procurement</w:t>
      </w:r>
      <w:r>
        <w:rPr>
          <w:color w:val="231F20"/>
          <w:spacing w:val="40"/>
        </w:rPr>
        <w:t> </w:t>
      </w:r>
      <w:r>
        <w:rPr>
          <w:color w:val="231F20"/>
        </w:rPr>
        <w:t>contracts by its subsidiaries, namely Jiangxi Jihong Supply Chain Management Co., Ltd, Hohhot Jihong Printing</w:t>
      </w:r>
      <w:r>
        <w:rPr>
          <w:color w:val="231F20"/>
          <w:spacing w:val="40"/>
        </w:rPr>
        <w:t> </w:t>
      </w:r>
      <w:r>
        <w:rPr>
          <w:color w:val="231F20"/>
        </w:rPr>
        <w:t>Packaging</w:t>
      </w:r>
      <w:r>
        <w:rPr>
          <w:color w:val="231F20"/>
          <w:spacing w:val="40"/>
        </w:rPr>
        <w:t> </w:t>
      </w:r>
      <w:r>
        <w:rPr>
          <w:color w:val="231F20"/>
        </w:rPr>
        <w:t>Co.,</w:t>
      </w:r>
      <w:r>
        <w:rPr>
          <w:color w:val="231F20"/>
          <w:spacing w:val="40"/>
        </w:rPr>
        <w:t> </w:t>
      </w:r>
      <w:r>
        <w:rPr>
          <w:color w:val="231F20"/>
        </w:rPr>
        <w:t>Ltd.,</w:t>
      </w:r>
      <w:r>
        <w:rPr>
          <w:color w:val="231F20"/>
          <w:spacing w:val="40"/>
        </w:rPr>
        <w:t> </w:t>
      </w:r>
      <w:r>
        <w:rPr>
          <w:color w:val="231F20"/>
        </w:rPr>
        <w:t>and</w:t>
      </w:r>
      <w:r>
        <w:rPr>
          <w:color w:val="231F20"/>
          <w:spacing w:val="40"/>
        </w:rPr>
        <w:t> </w:t>
      </w:r>
      <w:r>
        <w:rPr>
          <w:color w:val="231F20"/>
        </w:rPr>
        <w:t>Hainan</w:t>
      </w:r>
      <w:r>
        <w:rPr>
          <w:color w:val="231F20"/>
          <w:spacing w:val="40"/>
        </w:rPr>
        <w:t> </w:t>
      </w:r>
      <w:r>
        <w:rPr>
          <w:color w:val="231F20"/>
        </w:rPr>
        <w:t>Jihong</w:t>
      </w:r>
      <w:r>
        <w:rPr>
          <w:color w:val="231F20"/>
          <w:spacing w:val="40"/>
        </w:rPr>
        <w:t> </w:t>
      </w:r>
      <w:r>
        <w:rPr>
          <w:color w:val="231F20"/>
        </w:rPr>
        <w:t>Technology</w:t>
      </w:r>
      <w:r>
        <w:rPr>
          <w:color w:val="231F20"/>
          <w:spacing w:val="40"/>
        </w:rPr>
        <w:t> </w:t>
      </w:r>
      <w:r>
        <w:rPr>
          <w:color w:val="231F20"/>
        </w:rPr>
        <w:t>Co.,</w:t>
      </w:r>
      <w:r>
        <w:rPr>
          <w:color w:val="231F20"/>
          <w:spacing w:val="40"/>
        </w:rPr>
        <w:t> </w:t>
      </w:r>
      <w:r>
        <w:rPr>
          <w:color w:val="231F20"/>
        </w:rPr>
        <w:t>Ltd.,</w:t>
      </w:r>
      <w:r>
        <w:rPr>
          <w:color w:val="231F20"/>
          <w:spacing w:val="40"/>
        </w:rPr>
        <w:t> </w:t>
      </w:r>
      <w:r>
        <w:rPr>
          <w:color w:val="231F20"/>
        </w:rPr>
        <w:t>with</w:t>
      </w:r>
      <w:r>
        <w:rPr>
          <w:color w:val="231F20"/>
          <w:spacing w:val="40"/>
        </w:rPr>
        <w:t> </w:t>
      </w:r>
      <w:r>
        <w:rPr>
          <w:color w:val="231F20"/>
        </w:rPr>
        <w:t>the</w:t>
      </w:r>
      <w:r>
        <w:rPr>
          <w:color w:val="231F20"/>
          <w:spacing w:val="40"/>
        </w:rPr>
        <w:t> </w:t>
      </w:r>
      <w:r>
        <w:rPr>
          <w:color w:val="231F20"/>
        </w:rPr>
        <w:t>guarantee limit not exceeding RMB400 million. The specific guarantee amount, guarantee method, and guarantee</w:t>
      </w:r>
      <w:r>
        <w:rPr>
          <w:color w:val="231F20"/>
          <w:spacing w:val="40"/>
        </w:rPr>
        <w:t> </w:t>
      </w:r>
      <w:r>
        <w:rPr>
          <w:color w:val="231F20"/>
        </w:rPr>
        <w:t>period</w:t>
      </w:r>
      <w:r>
        <w:rPr>
          <w:color w:val="231F20"/>
          <w:spacing w:val="40"/>
        </w:rPr>
        <w:t> </w:t>
      </w:r>
      <w:r>
        <w:rPr>
          <w:color w:val="231F20"/>
        </w:rPr>
        <w:t>shall</w:t>
      </w:r>
      <w:r>
        <w:rPr>
          <w:color w:val="231F20"/>
          <w:spacing w:val="40"/>
        </w:rPr>
        <w:t> </w:t>
      </w:r>
      <w:r>
        <w:rPr>
          <w:color w:val="231F20"/>
        </w:rPr>
        <w:t>be</w:t>
      </w:r>
      <w:r>
        <w:rPr>
          <w:color w:val="231F20"/>
          <w:spacing w:val="40"/>
        </w:rPr>
        <w:t> </w:t>
      </w:r>
      <w:r>
        <w:rPr>
          <w:color w:val="231F20"/>
        </w:rPr>
        <w:t>subject</w:t>
      </w:r>
      <w:r>
        <w:rPr>
          <w:color w:val="231F20"/>
          <w:spacing w:val="40"/>
        </w:rPr>
        <w:t> </w:t>
      </w:r>
      <w:r>
        <w:rPr>
          <w:color w:val="231F20"/>
        </w:rPr>
        <w:t>to</w:t>
      </w:r>
      <w:r>
        <w:rPr>
          <w:color w:val="231F20"/>
          <w:spacing w:val="40"/>
        </w:rPr>
        <w:t> </w:t>
      </w:r>
      <w:r>
        <w:rPr>
          <w:color w:val="231F20"/>
        </w:rPr>
        <w:t>the</w:t>
      </w:r>
      <w:r>
        <w:rPr>
          <w:color w:val="231F20"/>
          <w:spacing w:val="40"/>
        </w:rPr>
        <w:t> </w:t>
      </w:r>
      <w:r>
        <w:rPr>
          <w:color w:val="231F20"/>
        </w:rPr>
        <w:t>finalized</w:t>
      </w:r>
      <w:r>
        <w:rPr>
          <w:color w:val="231F20"/>
          <w:spacing w:val="40"/>
        </w:rPr>
        <w:t> </w:t>
      </w:r>
      <w:r>
        <w:rPr>
          <w:color w:val="231F20"/>
        </w:rPr>
        <w:t>contract</w:t>
      </w:r>
      <w:r>
        <w:rPr>
          <w:color w:val="231F20"/>
          <w:spacing w:val="40"/>
        </w:rPr>
        <w:t> </w:t>
      </w:r>
      <w:r>
        <w:rPr>
          <w:color w:val="231F20"/>
        </w:rPr>
        <w:t>signed</w:t>
      </w:r>
      <w:r>
        <w:rPr>
          <w:color w:val="231F20"/>
          <w:spacing w:val="40"/>
        </w:rPr>
        <w:t> </w:t>
      </w:r>
      <w:r>
        <w:rPr>
          <w:color w:val="231F20"/>
        </w:rPr>
        <w:t>by</w:t>
      </w:r>
      <w:r>
        <w:rPr>
          <w:color w:val="231F20"/>
          <w:spacing w:val="40"/>
        </w:rPr>
        <w:t> </w:t>
      </w:r>
      <w:r>
        <w:rPr>
          <w:color w:val="231F20"/>
        </w:rPr>
        <w:t>all</w:t>
      </w:r>
      <w:r>
        <w:rPr>
          <w:color w:val="231F20"/>
          <w:spacing w:val="40"/>
        </w:rPr>
        <w:t> </w:t>
      </w:r>
      <w:r>
        <w:rPr>
          <w:color w:val="231F20"/>
        </w:rPr>
        <w:t>parties.</w:t>
      </w:r>
    </w:p>
    <w:p>
      <w:pPr>
        <w:pStyle w:val="BodyText"/>
        <w:spacing w:before="44"/>
      </w:pPr>
    </w:p>
    <w:p>
      <w:pPr>
        <w:spacing w:line="292" w:lineRule="auto" w:before="1"/>
        <w:ind w:left="1276" w:right="134" w:firstLine="567"/>
        <w:jc w:val="both"/>
        <w:rPr>
          <w:sz w:val="20"/>
        </w:rPr>
      </w:pPr>
      <w:r>
        <w:rPr>
          <w:color w:val="231F20"/>
          <w:sz w:val="20"/>
        </w:rPr>
        <w:t>For details, please refer to the “</w:t>
      </w:r>
      <w:r>
        <w:rPr>
          <w:i/>
          <w:color w:val="231F20"/>
          <w:sz w:val="20"/>
        </w:rPr>
        <w:t>Announcement on the Estimated Guarantee Amount</w:t>
      </w:r>
      <w:r>
        <w:rPr>
          <w:i/>
          <w:color w:val="231F20"/>
          <w:sz w:val="20"/>
        </w:rPr>
        <w:t> Provided for Financing and Performance by Controlled Subsidiaries in 2025</w:t>
      </w:r>
      <w:r>
        <w:rPr>
          <w:color w:val="231F20"/>
          <w:sz w:val="20"/>
        </w:rPr>
        <w:t>” </w:t>
      </w:r>
      <w:r>
        <w:rPr>
          <w:color w:val="231F20"/>
          <w:sz w:val="20"/>
        </w:rPr>
        <w:t>(Announcement No.: 2025-014), which was disclosed on April 2, 2025 by the Company in Securities Times, Securities Daily, China Securities Journal, Shanghai Securities News, and on the CNINFO </w:t>
      </w:r>
      <w:r>
        <w:rPr>
          <w:color w:val="231F20"/>
          <w:spacing w:val="-2"/>
          <w:sz w:val="20"/>
        </w:rPr>
        <w:t>(</w:t>
      </w:r>
      <w:hyperlink r:id="rId16">
        <w:r>
          <w:rPr>
            <w:color w:val="231F20"/>
            <w:spacing w:val="-2"/>
            <w:sz w:val="20"/>
          </w:rPr>
          <w:t>www.cninfo.com.cn).</w:t>
        </w:r>
      </w:hyperlink>
    </w:p>
    <w:p>
      <w:pPr>
        <w:pStyle w:val="BodyText"/>
        <w:spacing w:before="47"/>
      </w:pPr>
    </w:p>
    <w:p>
      <w:pPr>
        <w:pStyle w:val="Heading5"/>
        <w:numPr>
          <w:ilvl w:val="1"/>
          <w:numId w:val="7"/>
        </w:numPr>
        <w:tabs>
          <w:tab w:pos="1843" w:val="left" w:leader="none"/>
        </w:tabs>
        <w:spacing w:line="240" w:lineRule="auto" w:before="0" w:after="0"/>
        <w:ind w:left="1843" w:right="0" w:hanging="567"/>
        <w:jc w:val="left"/>
        <w:rPr>
          <w:i/>
        </w:rPr>
      </w:pPr>
      <w:r>
        <w:rPr>
          <w:i/>
          <w:color w:val="231F20"/>
          <w:w w:val="105"/>
        </w:rPr>
        <w:t>Basic</w:t>
      </w:r>
      <w:r>
        <w:rPr>
          <w:i/>
          <w:color w:val="231F20"/>
          <w:spacing w:val="20"/>
          <w:w w:val="105"/>
        </w:rPr>
        <w:t> </w:t>
      </w:r>
      <w:r>
        <w:rPr>
          <w:i/>
          <w:color w:val="231F20"/>
          <w:w w:val="105"/>
        </w:rPr>
        <w:t>Information</w:t>
      </w:r>
      <w:r>
        <w:rPr>
          <w:i/>
          <w:color w:val="231F20"/>
          <w:spacing w:val="21"/>
          <w:w w:val="105"/>
        </w:rPr>
        <w:t> </w:t>
      </w:r>
      <w:r>
        <w:rPr>
          <w:i/>
          <w:color w:val="231F20"/>
          <w:w w:val="105"/>
        </w:rPr>
        <w:t>on</w:t>
      </w:r>
      <w:r>
        <w:rPr>
          <w:i/>
          <w:color w:val="231F20"/>
          <w:spacing w:val="20"/>
          <w:w w:val="105"/>
        </w:rPr>
        <w:t> </w:t>
      </w:r>
      <w:r>
        <w:rPr>
          <w:i/>
          <w:color w:val="231F20"/>
          <w:w w:val="105"/>
        </w:rPr>
        <w:t>the</w:t>
      </w:r>
      <w:r>
        <w:rPr>
          <w:i/>
          <w:color w:val="231F20"/>
          <w:spacing w:val="21"/>
          <w:w w:val="105"/>
        </w:rPr>
        <w:t> </w:t>
      </w:r>
      <w:r>
        <w:rPr>
          <w:i/>
          <w:color w:val="231F20"/>
          <w:w w:val="105"/>
        </w:rPr>
        <w:t>New</w:t>
      </w:r>
      <w:r>
        <w:rPr>
          <w:i/>
          <w:color w:val="231F20"/>
          <w:spacing w:val="21"/>
          <w:w w:val="105"/>
        </w:rPr>
        <w:t> </w:t>
      </w:r>
      <w:r>
        <w:rPr>
          <w:i/>
          <w:color w:val="231F20"/>
          <w:w w:val="105"/>
        </w:rPr>
        <w:t>Estimated</w:t>
      </w:r>
      <w:r>
        <w:rPr>
          <w:i/>
          <w:color w:val="231F20"/>
          <w:spacing w:val="20"/>
          <w:w w:val="105"/>
        </w:rPr>
        <w:t> </w:t>
      </w:r>
      <w:r>
        <w:rPr>
          <w:i/>
          <w:color w:val="231F20"/>
          <w:w w:val="105"/>
        </w:rPr>
        <w:t>Guarantee</w:t>
      </w:r>
      <w:r>
        <w:rPr>
          <w:i/>
          <w:color w:val="231F20"/>
          <w:spacing w:val="21"/>
          <w:w w:val="105"/>
        </w:rPr>
        <w:t> </w:t>
      </w:r>
      <w:r>
        <w:rPr>
          <w:i/>
          <w:color w:val="231F20"/>
          <w:spacing w:val="-2"/>
          <w:w w:val="105"/>
        </w:rPr>
        <w:t>Amount</w:t>
      </w:r>
    </w:p>
    <w:p>
      <w:pPr>
        <w:pStyle w:val="BodyText"/>
        <w:spacing w:before="100"/>
        <w:rPr>
          <w:b/>
          <w:i/>
        </w:rPr>
      </w:pPr>
    </w:p>
    <w:p>
      <w:pPr>
        <w:pStyle w:val="ListParagraph"/>
        <w:numPr>
          <w:ilvl w:val="2"/>
          <w:numId w:val="7"/>
        </w:numPr>
        <w:tabs>
          <w:tab w:pos="2410" w:val="left" w:leader="none"/>
        </w:tabs>
        <w:spacing w:line="292" w:lineRule="auto" w:before="0" w:after="0"/>
        <w:ind w:left="2410" w:right="130" w:hanging="567"/>
        <w:jc w:val="both"/>
        <w:rPr>
          <w:sz w:val="20"/>
        </w:rPr>
      </w:pPr>
      <w:r>
        <w:rPr>
          <w:color w:val="231F20"/>
          <w:sz w:val="20"/>
        </w:rPr>
        <w:t>To meet the needs of business development and day-to-day operations, the</w:t>
      </w:r>
      <w:r>
        <w:rPr>
          <w:color w:val="231F20"/>
          <w:spacing w:val="80"/>
          <w:sz w:val="20"/>
        </w:rPr>
        <w:t> </w:t>
      </w:r>
      <w:r>
        <w:rPr>
          <w:color w:val="231F20"/>
          <w:sz w:val="20"/>
        </w:rPr>
        <w:t>Company intends to provide additional estimated guarantee amount of </w:t>
      </w:r>
      <w:r>
        <w:rPr>
          <w:color w:val="231F20"/>
          <w:sz w:val="20"/>
        </w:rPr>
        <w:t>RMB250 million for the performance obligations of the Guaranteed Parties. Following the increase in guarantee amount for the performance obligations, the Company’s total estimated guarantee amount for the performance obligations of the Guaranteed Parties</w:t>
      </w:r>
      <w:r>
        <w:rPr>
          <w:color w:val="231F20"/>
          <w:spacing w:val="40"/>
          <w:sz w:val="20"/>
        </w:rPr>
        <w:t> </w:t>
      </w:r>
      <w:r>
        <w:rPr>
          <w:color w:val="231F20"/>
          <w:sz w:val="20"/>
        </w:rPr>
        <w:t>in</w:t>
      </w:r>
      <w:r>
        <w:rPr>
          <w:color w:val="231F20"/>
          <w:spacing w:val="40"/>
          <w:sz w:val="20"/>
        </w:rPr>
        <w:t> </w:t>
      </w:r>
      <w:r>
        <w:rPr>
          <w:color w:val="231F20"/>
          <w:sz w:val="20"/>
        </w:rPr>
        <w:t>2025</w:t>
      </w:r>
      <w:r>
        <w:rPr>
          <w:color w:val="231F20"/>
          <w:spacing w:val="40"/>
          <w:sz w:val="20"/>
        </w:rPr>
        <w:t> </w:t>
      </w:r>
      <w:r>
        <w:rPr>
          <w:color w:val="231F20"/>
          <w:sz w:val="20"/>
        </w:rPr>
        <w:t>will</w:t>
      </w:r>
      <w:r>
        <w:rPr>
          <w:color w:val="231F20"/>
          <w:spacing w:val="40"/>
          <w:sz w:val="20"/>
        </w:rPr>
        <w:t> </w:t>
      </w:r>
      <w:r>
        <w:rPr>
          <w:color w:val="231F20"/>
          <w:sz w:val="20"/>
        </w:rPr>
        <w:t>increase</w:t>
      </w:r>
      <w:r>
        <w:rPr>
          <w:color w:val="231F20"/>
          <w:spacing w:val="40"/>
          <w:sz w:val="20"/>
        </w:rPr>
        <w:t> </w:t>
      </w:r>
      <w:r>
        <w:rPr>
          <w:color w:val="231F20"/>
          <w:sz w:val="20"/>
        </w:rPr>
        <w:t>from</w:t>
      </w:r>
      <w:r>
        <w:rPr>
          <w:color w:val="231F20"/>
          <w:spacing w:val="40"/>
          <w:sz w:val="20"/>
        </w:rPr>
        <w:t> </w:t>
      </w:r>
      <w:r>
        <w:rPr>
          <w:color w:val="231F20"/>
          <w:sz w:val="20"/>
        </w:rPr>
        <w:t>RMB400</w:t>
      </w:r>
      <w:r>
        <w:rPr>
          <w:color w:val="231F20"/>
          <w:spacing w:val="40"/>
          <w:sz w:val="20"/>
        </w:rPr>
        <w:t> </w:t>
      </w:r>
      <w:r>
        <w:rPr>
          <w:color w:val="231F20"/>
          <w:sz w:val="20"/>
        </w:rPr>
        <w:t>million</w:t>
      </w:r>
      <w:r>
        <w:rPr>
          <w:color w:val="231F20"/>
          <w:spacing w:val="40"/>
          <w:sz w:val="20"/>
        </w:rPr>
        <w:t> </w:t>
      </w:r>
      <w:r>
        <w:rPr>
          <w:color w:val="231F20"/>
          <w:sz w:val="20"/>
        </w:rPr>
        <w:t>to</w:t>
      </w:r>
      <w:r>
        <w:rPr>
          <w:color w:val="231F20"/>
          <w:spacing w:val="40"/>
          <w:sz w:val="20"/>
        </w:rPr>
        <w:t> </w:t>
      </w:r>
      <w:r>
        <w:rPr>
          <w:color w:val="231F20"/>
          <w:sz w:val="20"/>
        </w:rPr>
        <w:t>RMB</w:t>
      </w:r>
      <w:r>
        <w:rPr>
          <w:color w:val="231F20"/>
          <w:spacing w:val="40"/>
          <w:sz w:val="20"/>
        </w:rPr>
        <w:t> </w:t>
      </w:r>
      <w:r>
        <w:rPr>
          <w:color w:val="231F20"/>
          <w:sz w:val="20"/>
        </w:rPr>
        <w:t>650</w:t>
      </w:r>
      <w:r>
        <w:rPr>
          <w:color w:val="231F20"/>
          <w:spacing w:val="40"/>
          <w:sz w:val="20"/>
        </w:rPr>
        <w:t> </w:t>
      </w:r>
      <w:r>
        <w:rPr>
          <w:color w:val="231F20"/>
          <w:sz w:val="20"/>
        </w:rPr>
        <w:t>million.</w:t>
      </w:r>
    </w:p>
    <w:p>
      <w:pPr>
        <w:pStyle w:val="BodyText"/>
        <w:spacing w:before="46"/>
      </w:pPr>
    </w:p>
    <w:p>
      <w:pPr>
        <w:pStyle w:val="BodyText"/>
        <w:spacing w:line="292" w:lineRule="auto"/>
        <w:ind w:left="2410" w:right="129"/>
        <w:jc w:val="both"/>
      </w:pPr>
      <w:r>
        <w:rPr>
          <w:color w:val="231F20"/>
        </w:rPr>
        <w:t>The above-mentioned subsidiaries will determine the suppliers, quantities, and amounts of raw materials/products purchased based on, among others, </w:t>
      </w:r>
      <w:r>
        <w:rPr>
          <w:color w:val="231F20"/>
        </w:rPr>
        <w:t>actual production and operation demands, and quotations from suppliers. If suppliers require</w:t>
      </w:r>
      <w:r>
        <w:rPr>
          <w:color w:val="231F20"/>
          <w:spacing w:val="40"/>
        </w:rPr>
        <w:t> </w:t>
      </w:r>
      <w:r>
        <w:rPr>
          <w:color w:val="231F20"/>
        </w:rPr>
        <w:t>the</w:t>
      </w:r>
      <w:r>
        <w:rPr>
          <w:color w:val="231F20"/>
          <w:spacing w:val="40"/>
        </w:rPr>
        <w:t> </w:t>
      </w:r>
      <w:r>
        <w:rPr>
          <w:color w:val="231F20"/>
        </w:rPr>
        <w:t>Company</w:t>
      </w:r>
      <w:r>
        <w:rPr>
          <w:color w:val="231F20"/>
          <w:spacing w:val="40"/>
        </w:rPr>
        <w:t> </w:t>
      </w:r>
      <w:r>
        <w:rPr>
          <w:color w:val="231F20"/>
        </w:rPr>
        <w:t>to</w:t>
      </w:r>
      <w:r>
        <w:rPr>
          <w:color w:val="231F20"/>
          <w:spacing w:val="40"/>
        </w:rPr>
        <w:t> </w:t>
      </w:r>
      <w:r>
        <w:rPr>
          <w:color w:val="231F20"/>
        </w:rPr>
        <w:t>provide</w:t>
      </w:r>
      <w:r>
        <w:rPr>
          <w:color w:val="231F20"/>
          <w:spacing w:val="40"/>
        </w:rPr>
        <w:t> </w:t>
      </w:r>
      <w:r>
        <w:rPr>
          <w:color w:val="231F20"/>
        </w:rPr>
        <w:t>guarantees</w:t>
      </w:r>
      <w:r>
        <w:rPr>
          <w:color w:val="231F20"/>
          <w:spacing w:val="40"/>
        </w:rPr>
        <w:t> </w:t>
      </w:r>
      <w:r>
        <w:rPr>
          <w:color w:val="231F20"/>
        </w:rPr>
        <w:t>for</w:t>
      </w:r>
      <w:r>
        <w:rPr>
          <w:color w:val="231F20"/>
          <w:spacing w:val="40"/>
        </w:rPr>
        <w:t> </w:t>
      </w:r>
      <w:r>
        <w:rPr>
          <w:color w:val="231F20"/>
        </w:rPr>
        <w:t>the</w:t>
      </w:r>
      <w:r>
        <w:rPr>
          <w:color w:val="231F20"/>
          <w:spacing w:val="40"/>
        </w:rPr>
        <w:t> </w:t>
      </w:r>
      <w:r>
        <w:rPr>
          <w:color w:val="231F20"/>
        </w:rPr>
        <w:t>performance</w:t>
      </w:r>
      <w:r>
        <w:rPr>
          <w:color w:val="231F20"/>
          <w:spacing w:val="40"/>
        </w:rPr>
        <w:t> </w:t>
      </w:r>
      <w:r>
        <w:rPr>
          <w:color w:val="231F20"/>
        </w:rPr>
        <w:t>of</w:t>
      </w:r>
      <w:r>
        <w:rPr>
          <w:color w:val="231F20"/>
          <w:spacing w:val="40"/>
        </w:rPr>
        <w:t> </w:t>
      </w:r>
      <w:r>
        <w:rPr>
          <w:color w:val="231F20"/>
        </w:rPr>
        <w:t>obligations under the purchase contracts by the the Guaranteed Parties, the Company proposes</w:t>
      </w:r>
      <w:r>
        <w:rPr>
          <w:color w:val="231F20"/>
          <w:spacing w:val="40"/>
        </w:rPr>
        <w:t> </w:t>
      </w:r>
      <w:r>
        <w:rPr>
          <w:color w:val="231F20"/>
        </w:rPr>
        <w:t>to provide joint and several liability guarantees within the aforementioned limits.</w:t>
      </w:r>
      <w:r>
        <w:rPr>
          <w:color w:val="231F20"/>
          <w:spacing w:val="40"/>
        </w:rPr>
        <w:t> </w:t>
      </w:r>
      <w:r>
        <w:rPr>
          <w:color w:val="231F20"/>
        </w:rPr>
        <w:t>The specific guarantee amount, guarantee method, and guarantee term shall be subject</w:t>
      </w:r>
      <w:r>
        <w:rPr>
          <w:color w:val="231F20"/>
          <w:spacing w:val="40"/>
        </w:rPr>
        <w:t> </w:t>
      </w:r>
      <w:r>
        <w:rPr>
          <w:color w:val="231F20"/>
        </w:rPr>
        <w:t>to</w:t>
      </w:r>
      <w:r>
        <w:rPr>
          <w:color w:val="231F20"/>
          <w:spacing w:val="40"/>
        </w:rPr>
        <w:t> </w:t>
      </w:r>
      <w:r>
        <w:rPr>
          <w:color w:val="231F20"/>
        </w:rPr>
        <w:t>the</w:t>
      </w:r>
      <w:r>
        <w:rPr>
          <w:color w:val="231F20"/>
          <w:spacing w:val="40"/>
        </w:rPr>
        <w:t> </w:t>
      </w:r>
      <w:r>
        <w:rPr>
          <w:color w:val="231F20"/>
        </w:rPr>
        <w:t>finalized</w:t>
      </w:r>
      <w:r>
        <w:rPr>
          <w:color w:val="231F20"/>
          <w:spacing w:val="40"/>
        </w:rPr>
        <w:t> </w:t>
      </w:r>
      <w:r>
        <w:rPr>
          <w:color w:val="231F20"/>
        </w:rPr>
        <w:t>contracts</w:t>
      </w:r>
      <w:r>
        <w:rPr>
          <w:color w:val="231F20"/>
          <w:spacing w:val="40"/>
        </w:rPr>
        <w:t> </w:t>
      </w:r>
      <w:r>
        <w:rPr>
          <w:color w:val="231F20"/>
        </w:rPr>
        <w:t>signed</w:t>
      </w:r>
      <w:r>
        <w:rPr>
          <w:color w:val="231F20"/>
          <w:spacing w:val="40"/>
        </w:rPr>
        <w:t> </w:t>
      </w:r>
      <w:r>
        <w:rPr>
          <w:color w:val="231F20"/>
        </w:rPr>
        <w:t>by</w:t>
      </w:r>
      <w:r>
        <w:rPr>
          <w:color w:val="231F20"/>
          <w:spacing w:val="40"/>
        </w:rPr>
        <w:t> </w:t>
      </w:r>
      <w:r>
        <w:rPr>
          <w:color w:val="231F20"/>
        </w:rPr>
        <w:t>all</w:t>
      </w:r>
      <w:r>
        <w:rPr>
          <w:color w:val="231F20"/>
          <w:spacing w:val="40"/>
        </w:rPr>
        <w:t> </w:t>
      </w:r>
      <w:r>
        <w:rPr>
          <w:color w:val="231F20"/>
        </w:rPr>
        <w:t>parties.</w:t>
      </w:r>
    </w:p>
    <w:p>
      <w:pPr>
        <w:pStyle w:val="BodyText"/>
        <w:spacing w:after="0" w:line="292" w:lineRule="auto"/>
        <w:jc w:val="both"/>
        <w:sectPr>
          <w:pgSz w:w="11910" w:h="15880"/>
          <w:pgMar w:header="567" w:footer="573" w:top="1300" w:bottom="760" w:left="1275" w:right="1275"/>
        </w:sectPr>
      </w:pPr>
    </w:p>
    <w:p>
      <w:pPr>
        <w:pStyle w:val="BodyText"/>
        <w:spacing w:before="144"/>
      </w:pPr>
    </w:p>
    <w:p>
      <w:pPr>
        <w:pStyle w:val="ListParagraph"/>
        <w:numPr>
          <w:ilvl w:val="2"/>
          <w:numId w:val="7"/>
        </w:numPr>
        <w:tabs>
          <w:tab w:pos="2410" w:val="left" w:leader="none"/>
        </w:tabs>
        <w:spacing w:line="292" w:lineRule="auto" w:before="1" w:after="0"/>
        <w:ind w:left="2410" w:right="132" w:hanging="567"/>
        <w:jc w:val="both"/>
        <w:rPr>
          <w:sz w:val="20"/>
        </w:rPr>
      </w:pPr>
      <w:r>
        <w:rPr>
          <w:color w:val="231F20"/>
          <w:sz w:val="20"/>
        </w:rPr>
        <w:t>The authorization period for the performance guarantees shall be from the date </w:t>
      </w:r>
      <w:r>
        <w:rPr>
          <w:color w:val="231F20"/>
          <w:sz w:val="20"/>
        </w:rPr>
        <w:t>of approval</w:t>
      </w:r>
      <w:r>
        <w:rPr>
          <w:color w:val="231F20"/>
          <w:spacing w:val="17"/>
          <w:sz w:val="20"/>
        </w:rPr>
        <w:t> </w:t>
      </w:r>
      <w:r>
        <w:rPr>
          <w:color w:val="231F20"/>
          <w:sz w:val="20"/>
        </w:rPr>
        <w:t>at</w:t>
      </w:r>
      <w:r>
        <w:rPr>
          <w:color w:val="231F20"/>
          <w:spacing w:val="17"/>
          <w:sz w:val="20"/>
        </w:rPr>
        <w:t> </w:t>
      </w:r>
      <w:r>
        <w:rPr>
          <w:color w:val="231F20"/>
          <w:sz w:val="20"/>
        </w:rPr>
        <w:t>the</w:t>
      </w:r>
      <w:r>
        <w:rPr>
          <w:color w:val="231F20"/>
          <w:spacing w:val="17"/>
          <w:sz w:val="20"/>
        </w:rPr>
        <w:t> </w:t>
      </w:r>
      <w:r>
        <w:rPr>
          <w:color w:val="231F20"/>
          <w:sz w:val="20"/>
        </w:rPr>
        <w:t>2025</w:t>
      </w:r>
      <w:r>
        <w:rPr>
          <w:color w:val="231F20"/>
          <w:spacing w:val="17"/>
          <w:sz w:val="20"/>
        </w:rPr>
        <w:t> </w:t>
      </w:r>
      <w:r>
        <w:rPr>
          <w:color w:val="231F20"/>
          <w:sz w:val="20"/>
        </w:rPr>
        <w:t>Second</w:t>
      </w:r>
      <w:r>
        <w:rPr>
          <w:color w:val="231F20"/>
          <w:spacing w:val="17"/>
          <w:sz w:val="20"/>
        </w:rPr>
        <w:t> </w:t>
      </w:r>
      <w:r>
        <w:rPr>
          <w:color w:val="231F20"/>
          <w:sz w:val="20"/>
        </w:rPr>
        <w:t>EGM</w:t>
      </w:r>
      <w:r>
        <w:rPr>
          <w:color w:val="231F20"/>
          <w:spacing w:val="17"/>
          <w:sz w:val="20"/>
        </w:rPr>
        <w:t> </w:t>
      </w:r>
      <w:r>
        <w:rPr>
          <w:color w:val="231F20"/>
          <w:sz w:val="20"/>
        </w:rPr>
        <w:t>to</w:t>
      </w:r>
      <w:r>
        <w:rPr>
          <w:color w:val="231F20"/>
          <w:spacing w:val="17"/>
          <w:sz w:val="20"/>
        </w:rPr>
        <w:t> </w:t>
      </w:r>
      <w:r>
        <w:rPr>
          <w:color w:val="231F20"/>
          <w:sz w:val="20"/>
        </w:rPr>
        <w:t>the</w:t>
      </w:r>
      <w:r>
        <w:rPr>
          <w:color w:val="231F20"/>
          <w:spacing w:val="17"/>
          <w:sz w:val="20"/>
        </w:rPr>
        <w:t> </w:t>
      </w:r>
      <w:r>
        <w:rPr>
          <w:color w:val="231F20"/>
          <w:sz w:val="20"/>
        </w:rPr>
        <w:t>date</w:t>
      </w:r>
      <w:r>
        <w:rPr>
          <w:color w:val="231F20"/>
          <w:spacing w:val="17"/>
          <w:sz w:val="20"/>
        </w:rPr>
        <w:t> </w:t>
      </w:r>
      <w:r>
        <w:rPr>
          <w:color w:val="231F20"/>
          <w:sz w:val="20"/>
        </w:rPr>
        <w:t>of</w:t>
      </w:r>
      <w:r>
        <w:rPr>
          <w:color w:val="231F20"/>
          <w:spacing w:val="17"/>
          <w:sz w:val="20"/>
        </w:rPr>
        <w:t> </w:t>
      </w:r>
      <w:r>
        <w:rPr>
          <w:color w:val="231F20"/>
          <w:sz w:val="20"/>
        </w:rPr>
        <w:t>the</w:t>
      </w:r>
      <w:r>
        <w:rPr>
          <w:color w:val="231F20"/>
          <w:spacing w:val="17"/>
          <w:sz w:val="20"/>
        </w:rPr>
        <w:t> </w:t>
      </w:r>
      <w:r>
        <w:rPr>
          <w:color w:val="231F20"/>
          <w:sz w:val="20"/>
        </w:rPr>
        <w:t>2025</w:t>
      </w:r>
      <w:r>
        <w:rPr>
          <w:color w:val="231F20"/>
          <w:spacing w:val="17"/>
          <w:sz w:val="20"/>
        </w:rPr>
        <w:t> </w:t>
      </w:r>
      <w:r>
        <w:rPr>
          <w:color w:val="231F20"/>
          <w:sz w:val="20"/>
        </w:rPr>
        <w:t>annual</w:t>
      </w:r>
      <w:r>
        <w:rPr>
          <w:color w:val="231F20"/>
          <w:spacing w:val="17"/>
          <w:sz w:val="20"/>
        </w:rPr>
        <w:t> </w:t>
      </w:r>
      <w:r>
        <w:rPr>
          <w:color w:val="231F20"/>
          <w:sz w:val="20"/>
        </w:rPr>
        <w:t>general</w:t>
      </w:r>
      <w:r>
        <w:rPr>
          <w:color w:val="231F20"/>
          <w:spacing w:val="17"/>
          <w:sz w:val="20"/>
        </w:rPr>
        <w:t> </w:t>
      </w:r>
      <w:r>
        <w:rPr>
          <w:color w:val="231F20"/>
          <w:sz w:val="20"/>
        </w:rPr>
        <w:t>meeting of the Company. During the authorization period, the guarantee amount for the performance</w:t>
      </w:r>
      <w:r>
        <w:rPr>
          <w:color w:val="231F20"/>
          <w:spacing w:val="40"/>
          <w:sz w:val="20"/>
        </w:rPr>
        <w:t> </w:t>
      </w:r>
      <w:r>
        <w:rPr>
          <w:color w:val="231F20"/>
          <w:sz w:val="20"/>
        </w:rPr>
        <w:t>obligations</w:t>
      </w:r>
      <w:r>
        <w:rPr>
          <w:color w:val="231F20"/>
          <w:spacing w:val="40"/>
          <w:sz w:val="20"/>
        </w:rPr>
        <w:t> </w:t>
      </w:r>
      <w:r>
        <w:rPr>
          <w:color w:val="231F20"/>
          <w:sz w:val="20"/>
        </w:rPr>
        <w:t>may</w:t>
      </w:r>
      <w:r>
        <w:rPr>
          <w:color w:val="231F20"/>
          <w:spacing w:val="40"/>
          <w:sz w:val="20"/>
        </w:rPr>
        <w:t> </w:t>
      </w:r>
      <w:r>
        <w:rPr>
          <w:color w:val="231F20"/>
          <w:sz w:val="20"/>
        </w:rPr>
        <w:t>be</w:t>
      </w:r>
      <w:r>
        <w:rPr>
          <w:color w:val="231F20"/>
          <w:spacing w:val="40"/>
          <w:sz w:val="20"/>
        </w:rPr>
        <w:t> </w:t>
      </w:r>
      <w:r>
        <w:rPr>
          <w:color w:val="231F20"/>
          <w:sz w:val="20"/>
        </w:rPr>
        <w:t>utilized</w:t>
      </w:r>
      <w:r>
        <w:rPr>
          <w:color w:val="231F20"/>
          <w:spacing w:val="40"/>
          <w:sz w:val="20"/>
        </w:rPr>
        <w:t> </w:t>
      </w:r>
      <w:r>
        <w:rPr>
          <w:color w:val="231F20"/>
          <w:sz w:val="20"/>
        </w:rPr>
        <w:t>on</w:t>
      </w:r>
      <w:r>
        <w:rPr>
          <w:color w:val="231F20"/>
          <w:spacing w:val="40"/>
          <w:sz w:val="20"/>
        </w:rPr>
        <w:t> </w:t>
      </w:r>
      <w:r>
        <w:rPr>
          <w:color w:val="231F20"/>
          <w:sz w:val="20"/>
        </w:rPr>
        <w:t>a</w:t>
      </w:r>
      <w:r>
        <w:rPr>
          <w:color w:val="231F20"/>
          <w:spacing w:val="40"/>
          <w:sz w:val="20"/>
        </w:rPr>
        <w:t> </w:t>
      </w:r>
      <w:r>
        <w:rPr>
          <w:color w:val="231F20"/>
          <w:sz w:val="20"/>
        </w:rPr>
        <w:t>revolving</w:t>
      </w:r>
      <w:r>
        <w:rPr>
          <w:color w:val="231F20"/>
          <w:spacing w:val="40"/>
          <w:sz w:val="20"/>
        </w:rPr>
        <w:t> </w:t>
      </w:r>
      <w:r>
        <w:rPr>
          <w:color w:val="231F20"/>
          <w:sz w:val="20"/>
        </w:rPr>
        <w:t>basis,</w:t>
      </w:r>
      <w:r>
        <w:rPr>
          <w:color w:val="231F20"/>
          <w:spacing w:val="40"/>
          <w:sz w:val="20"/>
        </w:rPr>
        <w:t> </w:t>
      </w:r>
      <w:r>
        <w:rPr>
          <w:color w:val="231F20"/>
          <w:sz w:val="20"/>
        </w:rPr>
        <w:t>without</w:t>
      </w:r>
      <w:r>
        <w:rPr>
          <w:color w:val="231F20"/>
          <w:spacing w:val="40"/>
          <w:sz w:val="20"/>
        </w:rPr>
        <w:t> </w:t>
      </w:r>
      <w:r>
        <w:rPr>
          <w:color w:val="231F20"/>
          <w:sz w:val="20"/>
        </w:rPr>
        <w:t>the</w:t>
      </w:r>
      <w:r>
        <w:rPr>
          <w:color w:val="231F20"/>
          <w:spacing w:val="40"/>
          <w:sz w:val="20"/>
        </w:rPr>
        <w:t> </w:t>
      </w:r>
      <w:r>
        <w:rPr>
          <w:color w:val="231F20"/>
          <w:sz w:val="20"/>
        </w:rPr>
        <w:t>need for</w:t>
      </w:r>
      <w:r>
        <w:rPr>
          <w:color w:val="231F20"/>
          <w:spacing w:val="40"/>
          <w:sz w:val="20"/>
        </w:rPr>
        <w:t> </w:t>
      </w:r>
      <w:r>
        <w:rPr>
          <w:color w:val="231F20"/>
          <w:sz w:val="20"/>
        </w:rPr>
        <w:t>additional</w:t>
      </w:r>
      <w:r>
        <w:rPr>
          <w:color w:val="231F20"/>
          <w:spacing w:val="40"/>
          <w:sz w:val="20"/>
        </w:rPr>
        <w:t> </w:t>
      </w:r>
      <w:r>
        <w:rPr>
          <w:color w:val="231F20"/>
          <w:sz w:val="20"/>
        </w:rPr>
        <w:t>approval</w:t>
      </w:r>
      <w:r>
        <w:rPr>
          <w:color w:val="231F20"/>
          <w:spacing w:val="40"/>
          <w:sz w:val="20"/>
        </w:rPr>
        <w:t> </w:t>
      </w:r>
      <w:r>
        <w:rPr>
          <w:color w:val="231F20"/>
          <w:sz w:val="20"/>
        </w:rPr>
        <w:t>from</w:t>
      </w:r>
      <w:r>
        <w:rPr>
          <w:color w:val="231F20"/>
          <w:spacing w:val="40"/>
          <w:sz w:val="20"/>
        </w:rPr>
        <w:t> </w:t>
      </w:r>
      <w:r>
        <w:rPr>
          <w:color w:val="231F20"/>
          <w:sz w:val="20"/>
        </w:rPr>
        <w:t>the</w:t>
      </w:r>
      <w:r>
        <w:rPr>
          <w:color w:val="231F20"/>
          <w:spacing w:val="40"/>
          <w:sz w:val="20"/>
        </w:rPr>
        <w:t> </w:t>
      </w:r>
      <w:r>
        <w:rPr>
          <w:color w:val="231F20"/>
          <w:sz w:val="20"/>
        </w:rPr>
        <w:t>Board</w:t>
      </w:r>
      <w:r>
        <w:rPr>
          <w:color w:val="231F20"/>
          <w:spacing w:val="40"/>
          <w:sz w:val="20"/>
        </w:rPr>
        <w:t> </w:t>
      </w:r>
      <w:r>
        <w:rPr>
          <w:color w:val="231F20"/>
          <w:sz w:val="20"/>
        </w:rPr>
        <w:t>or</w:t>
      </w:r>
      <w:r>
        <w:rPr>
          <w:color w:val="231F20"/>
          <w:spacing w:val="40"/>
          <w:sz w:val="20"/>
        </w:rPr>
        <w:t> </w:t>
      </w:r>
      <w:r>
        <w:rPr>
          <w:color w:val="231F20"/>
          <w:sz w:val="20"/>
        </w:rPr>
        <w:t>a</w:t>
      </w:r>
      <w:r>
        <w:rPr>
          <w:color w:val="231F20"/>
          <w:spacing w:val="40"/>
          <w:sz w:val="20"/>
        </w:rPr>
        <w:t> </w:t>
      </w:r>
      <w:r>
        <w:rPr>
          <w:color w:val="231F20"/>
          <w:sz w:val="20"/>
        </w:rPr>
        <w:t>general</w:t>
      </w:r>
      <w:r>
        <w:rPr>
          <w:color w:val="231F20"/>
          <w:spacing w:val="40"/>
          <w:sz w:val="20"/>
        </w:rPr>
        <w:t> </w:t>
      </w:r>
      <w:r>
        <w:rPr>
          <w:color w:val="231F20"/>
          <w:sz w:val="20"/>
        </w:rPr>
        <w:t>meeting.</w:t>
      </w:r>
      <w:r>
        <w:rPr>
          <w:color w:val="231F20"/>
          <w:spacing w:val="40"/>
          <w:sz w:val="20"/>
        </w:rPr>
        <w:t> </w:t>
      </w:r>
      <w:r>
        <w:rPr>
          <w:color w:val="231F20"/>
          <w:sz w:val="20"/>
        </w:rPr>
        <w:t>The</w:t>
      </w:r>
      <w:r>
        <w:rPr>
          <w:color w:val="231F20"/>
          <w:spacing w:val="40"/>
          <w:sz w:val="20"/>
        </w:rPr>
        <w:t> </w:t>
      </w:r>
      <w:r>
        <w:rPr>
          <w:color w:val="231F20"/>
          <w:sz w:val="20"/>
        </w:rPr>
        <w:t>management of</w:t>
      </w:r>
      <w:r>
        <w:rPr>
          <w:color w:val="231F20"/>
          <w:sz w:val="20"/>
        </w:rPr>
        <w:t> the Company is authorized to handle all matters related to the performance guarantees, including but not limited to reviewing the purchase of raw materials/ products of the Company and the Guaranteed Parties and making adjustments to the allocation as needed, as well as signing all legal documents such as performance</w:t>
      </w:r>
      <w:r>
        <w:rPr>
          <w:color w:val="231F20"/>
          <w:spacing w:val="80"/>
          <w:w w:val="150"/>
          <w:sz w:val="20"/>
        </w:rPr>
        <w:t> </w:t>
      </w:r>
      <w:r>
        <w:rPr>
          <w:color w:val="231F20"/>
          <w:sz w:val="20"/>
        </w:rPr>
        <w:t>and guarantee agreements.</w:t>
      </w:r>
    </w:p>
    <w:p>
      <w:pPr>
        <w:pStyle w:val="BodyText"/>
        <w:spacing w:before="44"/>
      </w:pPr>
    </w:p>
    <w:p>
      <w:pPr>
        <w:pStyle w:val="ListParagraph"/>
        <w:numPr>
          <w:ilvl w:val="0"/>
          <w:numId w:val="7"/>
        </w:numPr>
        <w:tabs>
          <w:tab w:pos="1276" w:val="left" w:leader="none"/>
        </w:tabs>
        <w:spacing w:line="240" w:lineRule="auto" w:before="0" w:after="0"/>
        <w:ind w:left="1276" w:right="0" w:hanging="567"/>
        <w:jc w:val="left"/>
        <w:rPr>
          <w:b/>
          <w:sz w:val="20"/>
        </w:rPr>
      </w:pPr>
      <w:r>
        <w:rPr>
          <w:b/>
          <w:color w:val="231F20"/>
          <w:sz w:val="20"/>
        </w:rPr>
        <w:t>New</w:t>
      </w:r>
      <w:r>
        <w:rPr>
          <w:b/>
          <w:color w:val="231F20"/>
          <w:spacing w:val="33"/>
          <w:sz w:val="20"/>
        </w:rPr>
        <w:t> </w:t>
      </w:r>
      <w:r>
        <w:rPr>
          <w:b/>
          <w:color w:val="231F20"/>
          <w:sz w:val="20"/>
        </w:rPr>
        <w:t>Estimated</w:t>
      </w:r>
      <w:r>
        <w:rPr>
          <w:b/>
          <w:color w:val="231F20"/>
          <w:spacing w:val="35"/>
          <w:sz w:val="20"/>
        </w:rPr>
        <w:t> </w:t>
      </w:r>
      <w:r>
        <w:rPr>
          <w:b/>
          <w:color w:val="231F20"/>
          <w:sz w:val="20"/>
        </w:rPr>
        <w:t>Guarantee</w:t>
      </w:r>
      <w:r>
        <w:rPr>
          <w:b/>
          <w:color w:val="231F20"/>
          <w:spacing w:val="36"/>
          <w:sz w:val="20"/>
        </w:rPr>
        <w:t> </w:t>
      </w:r>
      <w:r>
        <w:rPr>
          <w:b/>
          <w:color w:val="231F20"/>
          <w:sz w:val="20"/>
        </w:rPr>
        <w:t>Amount</w:t>
      </w:r>
      <w:r>
        <w:rPr>
          <w:b/>
          <w:color w:val="231F20"/>
          <w:spacing w:val="35"/>
          <w:sz w:val="20"/>
        </w:rPr>
        <w:t> </w:t>
      </w:r>
      <w:r>
        <w:rPr>
          <w:b/>
          <w:color w:val="231F20"/>
          <w:sz w:val="20"/>
        </w:rPr>
        <w:t>for</w:t>
      </w:r>
      <w:r>
        <w:rPr>
          <w:b/>
          <w:color w:val="231F20"/>
          <w:spacing w:val="36"/>
          <w:sz w:val="20"/>
        </w:rPr>
        <w:t> </w:t>
      </w:r>
      <w:r>
        <w:rPr>
          <w:b/>
          <w:color w:val="231F20"/>
          <w:sz w:val="20"/>
        </w:rPr>
        <w:t>the</w:t>
      </w:r>
      <w:r>
        <w:rPr>
          <w:b/>
          <w:color w:val="231F20"/>
          <w:spacing w:val="35"/>
          <w:sz w:val="20"/>
        </w:rPr>
        <w:t> </w:t>
      </w:r>
      <w:r>
        <w:rPr>
          <w:b/>
          <w:color w:val="231F20"/>
          <w:sz w:val="20"/>
        </w:rPr>
        <w:t>Performance</w:t>
      </w:r>
      <w:r>
        <w:rPr>
          <w:b/>
          <w:color w:val="231F20"/>
          <w:spacing w:val="36"/>
          <w:sz w:val="20"/>
        </w:rPr>
        <w:t> </w:t>
      </w:r>
      <w:r>
        <w:rPr>
          <w:b/>
          <w:color w:val="231F20"/>
          <w:spacing w:val="-2"/>
          <w:sz w:val="20"/>
        </w:rPr>
        <w:t>Obligations</w:t>
      </w:r>
    </w:p>
    <w:p>
      <w:pPr>
        <w:pStyle w:val="BodyText"/>
        <w:spacing w:before="6"/>
        <w:rPr>
          <w:b/>
        </w:rPr>
      </w:pPr>
    </w:p>
    <w:p>
      <w:pPr>
        <w:pStyle w:val="BodyText"/>
        <w:spacing w:after="0"/>
        <w:rPr>
          <w:b/>
        </w:rPr>
        <w:sectPr>
          <w:pgSz w:w="11910" w:h="15880"/>
          <w:pgMar w:header="567" w:footer="573" w:top="1300" w:bottom="760" w:left="1275" w:right="1275"/>
        </w:sectPr>
      </w:pPr>
    </w:p>
    <w:p>
      <w:pPr>
        <w:pStyle w:val="BodyText"/>
        <w:rPr>
          <w:b/>
        </w:rPr>
      </w:pPr>
    </w:p>
    <w:p>
      <w:pPr>
        <w:pStyle w:val="BodyText"/>
        <w:rPr>
          <w:b/>
        </w:rPr>
      </w:pPr>
    </w:p>
    <w:p>
      <w:pPr>
        <w:pStyle w:val="BodyText"/>
        <w:rPr>
          <w:b/>
        </w:rPr>
      </w:pPr>
    </w:p>
    <w:p>
      <w:pPr>
        <w:pStyle w:val="BodyText"/>
        <w:spacing w:before="14"/>
        <w:rPr>
          <w:b/>
        </w:rPr>
      </w:pPr>
    </w:p>
    <w:p>
      <w:pPr>
        <w:pStyle w:val="BodyText"/>
        <w:jc w:val="right"/>
      </w:pPr>
      <w:r>
        <w:rPr>
          <w:color w:val="231F20"/>
          <w:spacing w:val="-2"/>
          <w:w w:val="70"/>
        </w:rPr>
        <w:t>Shareholding</w:t>
      </w:r>
    </w:p>
    <w:p>
      <w:pPr>
        <w:pStyle w:val="BodyText"/>
        <w:spacing w:line="292" w:lineRule="auto" w:before="94"/>
        <w:ind w:left="2905" w:right="906"/>
        <w:jc w:val="right"/>
      </w:pPr>
      <w:r>
        <w:rPr/>
        <w:br w:type="column"/>
      </w:r>
      <w:r>
        <w:rPr>
          <w:color w:val="231F20"/>
          <w:w w:val="60"/>
        </w:rPr>
        <w:t>The</w:t>
      </w:r>
      <w:r>
        <w:rPr>
          <w:color w:val="231F20"/>
          <w:spacing w:val="-14"/>
        </w:rPr>
        <w:t> </w:t>
      </w:r>
      <w:r>
        <w:rPr>
          <w:color w:val="231F20"/>
          <w:w w:val="60"/>
        </w:rPr>
        <w:t>percentage</w:t>
      </w:r>
      <w:r>
        <w:rPr>
          <w:color w:val="231F20"/>
        </w:rPr>
        <w:t> </w:t>
      </w:r>
      <w:r>
        <w:rPr>
          <w:color w:val="231F20"/>
          <w:w w:val="55"/>
        </w:rPr>
        <w:t>of</w:t>
      </w:r>
      <w:r>
        <w:rPr>
          <w:color w:val="231F20"/>
          <w:spacing w:val="-1"/>
        </w:rPr>
        <w:t> </w:t>
      </w:r>
      <w:r>
        <w:rPr>
          <w:color w:val="231F20"/>
          <w:w w:val="55"/>
        </w:rPr>
        <w:t>the</w:t>
      </w:r>
      <w:r>
        <w:rPr>
          <w:color w:val="231F20"/>
        </w:rPr>
        <w:t> </w:t>
      </w:r>
      <w:r>
        <w:rPr>
          <w:color w:val="231F20"/>
          <w:spacing w:val="-2"/>
          <w:w w:val="55"/>
        </w:rPr>
        <w:t>guarantee</w:t>
      </w:r>
    </w:p>
    <w:p>
      <w:pPr>
        <w:pStyle w:val="BodyText"/>
        <w:spacing w:line="292" w:lineRule="auto"/>
        <w:ind w:left="3088" w:right="987" w:firstLine="178"/>
        <w:jc w:val="right"/>
      </w:pPr>
      <w:r>
        <w:rPr>
          <w:color w:val="231F20"/>
          <w:spacing w:val="-2"/>
          <w:w w:val="60"/>
        </w:rPr>
        <w:t>amount</w:t>
      </w:r>
      <w:r>
        <w:rPr>
          <w:color w:val="231F20"/>
        </w:rPr>
        <w:t> </w:t>
      </w:r>
      <w:r>
        <w:rPr>
          <w:color w:val="231F20"/>
          <w:spacing w:val="-2"/>
          <w:w w:val="60"/>
        </w:rPr>
        <w:t>accounting</w:t>
      </w:r>
    </w:p>
    <w:p>
      <w:pPr>
        <w:pStyle w:val="BodyText"/>
        <w:spacing w:after="0" w:line="292" w:lineRule="auto"/>
        <w:jc w:val="right"/>
        <w:sectPr>
          <w:type w:val="continuous"/>
          <w:pgSz w:w="11910" w:h="15880"/>
          <w:pgMar w:header="567" w:footer="573" w:top="1300" w:bottom="280" w:left="1275" w:right="1275"/>
          <w:cols w:num="2" w:equalWidth="0">
            <w:col w:w="4681" w:space="40"/>
            <w:col w:w="4639"/>
          </w:cols>
        </w:sectPr>
      </w:pPr>
    </w:p>
    <w:tbl>
      <w:tblPr>
        <w:tblW w:w="0" w:type="auto"/>
        <w:jc w:val="left"/>
        <w:tblInd w:w="1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98"/>
        <w:gridCol w:w="1261"/>
        <w:gridCol w:w="1050"/>
        <w:gridCol w:w="1103"/>
        <w:gridCol w:w="624"/>
        <w:gridCol w:w="227"/>
        <w:gridCol w:w="624"/>
        <w:gridCol w:w="227"/>
        <w:gridCol w:w="624"/>
        <w:gridCol w:w="227"/>
        <w:gridCol w:w="678"/>
      </w:tblGrid>
      <w:tr>
        <w:trPr>
          <w:trHeight w:val="280" w:hRule="atLeast"/>
        </w:trPr>
        <w:tc>
          <w:tcPr>
            <w:tcW w:w="2659" w:type="dxa"/>
            <w:gridSpan w:val="2"/>
            <w:vMerge w:val="restart"/>
          </w:tcPr>
          <w:p>
            <w:pPr>
              <w:pStyle w:val="TableParagraph"/>
              <w:spacing w:before="0"/>
              <w:rPr>
                <w:sz w:val="16"/>
              </w:rPr>
            </w:pPr>
          </w:p>
        </w:tc>
        <w:tc>
          <w:tcPr>
            <w:tcW w:w="1050" w:type="dxa"/>
          </w:tcPr>
          <w:p>
            <w:pPr>
              <w:pStyle w:val="TableParagraph"/>
              <w:spacing w:line="223" w:lineRule="exact" w:before="0"/>
              <w:ind w:left="245"/>
              <w:rPr>
                <w:sz w:val="20"/>
              </w:rPr>
            </w:pPr>
            <w:r>
              <w:rPr>
                <w:color w:val="231F20"/>
                <w:spacing w:val="-2"/>
                <w:w w:val="70"/>
                <w:sz w:val="20"/>
              </w:rPr>
              <w:t>percentage</w:t>
            </w:r>
          </w:p>
        </w:tc>
        <w:tc>
          <w:tcPr>
            <w:tcW w:w="1103" w:type="dxa"/>
          </w:tcPr>
          <w:p>
            <w:pPr>
              <w:pStyle w:val="TableParagraph"/>
              <w:spacing w:before="0"/>
              <w:rPr>
                <w:sz w:val="16"/>
              </w:rPr>
            </w:pPr>
          </w:p>
        </w:tc>
        <w:tc>
          <w:tcPr>
            <w:tcW w:w="624" w:type="dxa"/>
          </w:tcPr>
          <w:p>
            <w:pPr>
              <w:pStyle w:val="TableParagraph"/>
              <w:spacing w:before="0"/>
              <w:rPr>
                <w:sz w:val="16"/>
              </w:rPr>
            </w:pPr>
          </w:p>
        </w:tc>
        <w:tc>
          <w:tcPr>
            <w:tcW w:w="227" w:type="dxa"/>
          </w:tcPr>
          <w:p>
            <w:pPr>
              <w:pStyle w:val="TableParagraph"/>
              <w:spacing w:before="0"/>
              <w:rPr>
                <w:sz w:val="16"/>
              </w:rPr>
            </w:pPr>
          </w:p>
        </w:tc>
        <w:tc>
          <w:tcPr>
            <w:tcW w:w="624" w:type="dxa"/>
          </w:tcPr>
          <w:p>
            <w:pPr>
              <w:pStyle w:val="TableParagraph"/>
              <w:spacing w:before="0"/>
              <w:rPr>
                <w:sz w:val="16"/>
              </w:rPr>
            </w:pPr>
          </w:p>
        </w:tc>
        <w:tc>
          <w:tcPr>
            <w:tcW w:w="227" w:type="dxa"/>
          </w:tcPr>
          <w:p>
            <w:pPr>
              <w:pStyle w:val="TableParagraph"/>
              <w:spacing w:before="0"/>
              <w:rPr>
                <w:sz w:val="16"/>
              </w:rPr>
            </w:pPr>
          </w:p>
        </w:tc>
        <w:tc>
          <w:tcPr>
            <w:tcW w:w="624" w:type="dxa"/>
          </w:tcPr>
          <w:p>
            <w:pPr>
              <w:pStyle w:val="TableParagraph"/>
              <w:spacing w:line="223" w:lineRule="exact" w:before="0"/>
              <w:ind w:left="-2" w:right="-15"/>
              <w:jc w:val="right"/>
              <w:rPr>
                <w:sz w:val="20"/>
              </w:rPr>
            </w:pPr>
            <w:r>
              <w:rPr>
                <w:color w:val="231F20"/>
                <w:w w:val="55"/>
                <w:sz w:val="20"/>
              </w:rPr>
              <w:t>for</w:t>
            </w:r>
            <w:r>
              <w:rPr>
                <w:color w:val="231F20"/>
                <w:spacing w:val="2"/>
                <w:sz w:val="20"/>
              </w:rPr>
              <w:t> </w:t>
            </w:r>
            <w:r>
              <w:rPr>
                <w:color w:val="231F20"/>
                <w:w w:val="55"/>
                <w:sz w:val="20"/>
              </w:rPr>
              <w:t>the</w:t>
            </w:r>
            <w:r>
              <w:rPr>
                <w:color w:val="231F20"/>
                <w:spacing w:val="3"/>
                <w:sz w:val="20"/>
              </w:rPr>
              <w:t> </w:t>
            </w:r>
            <w:r>
              <w:rPr>
                <w:color w:val="231F20"/>
                <w:spacing w:val="-2"/>
                <w:w w:val="55"/>
                <w:sz w:val="20"/>
              </w:rPr>
              <w:t>latest</w:t>
            </w:r>
          </w:p>
        </w:tc>
        <w:tc>
          <w:tcPr>
            <w:tcW w:w="905" w:type="dxa"/>
            <w:gridSpan w:val="2"/>
          </w:tcPr>
          <w:p>
            <w:pPr>
              <w:pStyle w:val="TableParagraph"/>
              <w:spacing w:before="0"/>
              <w:rPr>
                <w:sz w:val="16"/>
              </w:rPr>
            </w:pPr>
          </w:p>
        </w:tc>
      </w:tr>
      <w:tr>
        <w:trPr>
          <w:trHeight w:val="531" w:hRule="atLeast"/>
        </w:trPr>
        <w:tc>
          <w:tcPr>
            <w:tcW w:w="2659" w:type="dxa"/>
            <w:gridSpan w:val="2"/>
            <w:vMerge/>
            <w:tcBorders>
              <w:top w:val="nil"/>
            </w:tcBorders>
          </w:tcPr>
          <w:p>
            <w:pPr>
              <w:rPr>
                <w:sz w:val="2"/>
                <w:szCs w:val="2"/>
              </w:rPr>
            </w:pPr>
          </w:p>
        </w:tc>
        <w:tc>
          <w:tcPr>
            <w:tcW w:w="1050" w:type="dxa"/>
          </w:tcPr>
          <w:p>
            <w:pPr>
              <w:pStyle w:val="TableParagraph"/>
              <w:spacing w:line="223" w:lineRule="exact" w:before="0"/>
              <w:ind w:left="229"/>
              <w:rPr>
                <w:sz w:val="20"/>
              </w:rPr>
            </w:pPr>
            <w:r>
              <w:rPr>
                <w:color w:val="231F20"/>
                <w:w w:val="60"/>
                <w:sz w:val="20"/>
              </w:rPr>
              <w:t>held</w:t>
            </w:r>
            <w:r>
              <w:rPr>
                <w:color w:val="231F20"/>
                <w:spacing w:val="-10"/>
                <w:sz w:val="20"/>
              </w:rPr>
              <w:t> </w:t>
            </w:r>
            <w:r>
              <w:rPr>
                <w:color w:val="231F20"/>
                <w:w w:val="60"/>
                <w:sz w:val="20"/>
              </w:rPr>
              <w:t>by</w:t>
            </w:r>
            <w:r>
              <w:rPr>
                <w:color w:val="231F20"/>
                <w:spacing w:val="-8"/>
                <w:sz w:val="20"/>
              </w:rPr>
              <w:t> </w:t>
            </w:r>
            <w:r>
              <w:rPr>
                <w:color w:val="231F20"/>
                <w:spacing w:val="-5"/>
                <w:w w:val="60"/>
                <w:sz w:val="20"/>
              </w:rPr>
              <w:t>the</w:t>
            </w:r>
          </w:p>
          <w:p>
            <w:pPr>
              <w:pStyle w:val="TableParagraph"/>
              <w:spacing w:before="50"/>
              <w:ind w:left="149"/>
              <w:rPr>
                <w:sz w:val="20"/>
              </w:rPr>
            </w:pPr>
            <w:r>
              <w:rPr>
                <w:color w:val="231F20"/>
                <w:w w:val="60"/>
                <w:sz w:val="20"/>
              </w:rPr>
              <w:t>Guarantor</w:t>
            </w:r>
            <w:r>
              <w:rPr>
                <w:color w:val="231F20"/>
                <w:spacing w:val="10"/>
                <w:sz w:val="20"/>
              </w:rPr>
              <w:t> </w:t>
            </w:r>
            <w:r>
              <w:rPr>
                <w:color w:val="231F20"/>
                <w:spacing w:val="-5"/>
                <w:w w:val="70"/>
                <w:sz w:val="20"/>
              </w:rPr>
              <w:t>in</w:t>
            </w:r>
          </w:p>
        </w:tc>
        <w:tc>
          <w:tcPr>
            <w:tcW w:w="1103" w:type="dxa"/>
          </w:tcPr>
          <w:p>
            <w:pPr>
              <w:pStyle w:val="TableParagraph"/>
              <w:spacing w:before="43"/>
              <w:rPr>
                <w:sz w:val="20"/>
              </w:rPr>
            </w:pPr>
          </w:p>
          <w:p>
            <w:pPr>
              <w:pStyle w:val="TableParagraph"/>
              <w:spacing w:before="0"/>
              <w:ind w:right="221"/>
              <w:jc w:val="right"/>
              <w:rPr>
                <w:sz w:val="20"/>
              </w:rPr>
            </w:pPr>
            <w:r>
              <w:rPr>
                <w:color w:val="231F20"/>
                <w:w w:val="60"/>
                <w:sz w:val="20"/>
              </w:rPr>
              <w:t>Latest</w:t>
            </w:r>
            <w:r>
              <w:rPr>
                <w:color w:val="231F20"/>
                <w:spacing w:val="1"/>
                <w:sz w:val="20"/>
              </w:rPr>
              <w:t> </w:t>
            </w:r>
            <w:r>
              <w:rPr>
                <w:color w:val="231F20"/>
                <w:spacing w:val="-2"/>
                <w:w w:val="70"/>
                <w:sz w:val="20"/>
              </w:rPr>
              <w:t>gearing</w:t>
            </w:r>
          </w:p>
        </w:tc>
        <w:tc>
          <w:tcPr>
            <w:tcW w:w="624" w:type="dxa"/>
          </w:tcPr>
          <w:p>
            <w:pPr>
              <w:pStyle w:val="TableParagraph"/>
              <w:spacing w:line="223" w:lineRule="exact" w:before="0"/>
              <w:ind w:right="-15"/>
              <w:jc w:val="right"/>
              <w:rPr>
                <w:sz w:val="20"/>
              </w:rPr>
            </w:pPr>
            <w:r>
              <w:rPr>
                <w:color w:val="231F20"/>
                <w:spacing w:val="-2"/>
                <w:w w:val="70"/>
                <w:sz w:val="20"/>
              </w:rPr>
              <w:t>Guarantee</w:t>
            </w:r>
          </w:p>
          <w:p>
            <w:pPr>
              <w:pStyle w:val="TableParagraph"/>
              <w:spacing w:before="50"/>
              <w:ind w:right="-15"/>
              <w:jc w:val="right"/>
              <w:rPr>
                <w:sz w:val="20"/>
              </w:rPr>
            </w:pPr>
            <w:r>
              <w:rPr>
                <w:color w:val="231F20"/>
                <w:spacing w:val="-2"/>
                <w:w w:val="70"/>
                <w:sz w:val="20"/>
              </w:rPr>
              <w:t>balance</w:t>
            </w:r>
          </w:p>
        </w:tc>
        <w:tc>
          <w:tcPr>
            <w:tcW w:w="851" w:type="dxa"/>
            <w:gridSpan w:val="2"/>
          </w:tcPr>
          <w:p>
            <w:pPr>
              <w:pStyle w:val="TableParagraph"/>
              <w:spacing w:before="43"/>
              <w:rPr>
                <w:sz w:val="20"/>
              </w:rPr>
            </w:pPr>
          </w:p>
          <w:p>
            <w:pPr>
              <w:pStyle w:val="TableParagraph"/>
              <w:spacing w:before="0"/>
              <w:ind w:left="309" w:right="-15"/>
              <w:rPr>
                <w:sz w:val="20"/>
              </w:rPr>
            </w:pPr>
            <w:r>
              <w:rPr>
                <w:color w:val="231F20"/>
                <w:spacing w:val="-2"/>
                <w:w w:val="60"/>
                <w:sz w:val="20"/>
              </w:rPr>
              <w:t>Additional</w:t>
            </w:r>
          </w:p>
        </w:tc>
        <w:tc>
          <w:tcPr>
            <w:tcW w:w="851" w:type="dxa"/>
            <w:gridSpan w:val="2"/>
          </w:tcPr>
          <w:p>
            <w:pPr>
              <w:pStyle w:val="TableParagraph"/>
              <w:spacing w:line="223" w:lineRule="exact" w:before="0"/>
              <w:ind w:left="227" w:right="-15"/>
              <w:rPr>
                <w:sz w:val="20"/>
              </w:rPr>
            </w:pPr>
            <w:r>
              <w:rPr>
                <w:color w:val="231F20"/>
                <w:w w:val="60"/>
                <w:sz w:val="20"/>
              </w:rPr>
              <w:t>net</w:t>
            </w:r>
            <w:r>
              <w:rPr>
                <w:color w:val="231F20"/>
                <w:spacing w:val="-4"/>
                <w:sz w:val="20"/>
              </w:rPr>
              <w:t> </w:t>
            </w:r>
            <w:r>
              <w:rPr>
                <w:color w:val="231F20"/>
                <w:w w:val="60"/>
                <w:sz w:val="20"/>
              </w:rPr>
              <w:t>assets</w:t>
            </w:r>
            <w:r>
              <w:rPr>
                <w:color w:val="231F20"/>
                <w:spacing w:val="-3"/>
                <w:sz w:val="20"/>
              </w:rPr>
              <w:t> </w:t>
            </w:r>
            <w:r>
              <w:rPr>
                <w:color w:val="231F20"/>
                <w:spacing w:val="-5"/>
                <w:w w:val="60"/>
                <w:sz w:val="20"/>
              </w:rPr>
              <w:t>of</w:t>
            </w:r>
          </w:p>
          <w:p>
            <w:pPr>
              <w:pStyle w:val="TableParagraph"/>
              <w:spacing w:before="50"/>
              <w:ind w:left="176" w:right="-15"/>
              <w:rPr>
                <w:sz w:val="20"/>
              </w:rPr>
            </w:pPr>
            <w:r>
              <w:rPr>
                <w:color w:val="231F20"/>
                <w:w w:val="60"/>
                <w:sz w:val="20"/>
              </w:rPr>
              <w:t>the</w:t>
            </w:r>
            <w:r>
              <w:rPr>
                <w:color w:val="231F20"/>
                <w:spacing w:val="-8"/>
                <w:sz w:val="20"/>
              </w:rPr>
              <w:t> </w:t>
            </w:r>
            <w:r>
              <w:rPr>
                <w:color w:val="231F20"/>
                <w:spacing w:val="-2"/>
                <w:w w:val="60"/>
                <w:sz w:val="20"/>
              </w:rPr>
              <w:t>Company</w:t>
            </w:r>
          </w:p>
        </w:tc>
        <w:tc>
          <w:tcPr>
            <w:tcW w:w="905" w:type="dxa"/>
            <w:gridSpan w:val="2"/>
          </w:tcPr>
          <w:p>
            <w:pPr>
              <w:pStyle w:val="TableParagraph"/>
              <w:spacing w:before="43"/>
              <w:rPr>
                <w:sz w:val="20"/>
              </w:rPr>
            </w:pPr>
          </w:p>
          <w:p>
            <w:pPr>
              <w:pStyle w:val="TableParagraph"/>
              <w:spacing w:before="0"/>
              <w:ind w:left="418"/>
              <w:rPr>
                <w:sz w:val="20"/>
              </w:rPr>
            </w:pPr>
            <w:r>
              <w:rPr>
                <w:color w:val="231F20"/>
                <w:spacing w:val="-2"/>
                <w:w w:val="65"/>
                <w:sz w:val="20"/>
              </w:rPr>
              <w:t>Whether</w:t>
            </w:r>
          </w:p>
        </w:tc>
      </w:tr>
      <w:tr>
        <w:trPr>
          <w:trHeight w:val="280" w:hRule="atLeast"/>
        </w:trPr>
        <w:tc>
          <w:tcPr>
            <w:tcW w:w="2659" w:type="dxa"/>
            <w:gridSpan w:val="2"/>
            <w:vMerge/>
            <w:tcBorders>
              <w:top w:val="nil"/>
            </w:tcBorders>
          </w:tcPr>
          <w:p>
            <w:pPr>
              <w:rPr>
                <w:sz w:val="2"/>
                <w:szCs w:val="2"/>
              </w:rPr>
            </w:pPr>
          </w:p>
        </w:tc>
        <w:tc>
          <w:tcPr>
            <w:tcW w:w="1050" w:type="dxa"/>
          </w:tcPr>
          <w:p>
            <w:pPr>
              <w:pStyle w:val="TableParagraph"/>
              <w:ind w:left="639"/>
              <w:rPr>
                <w:sz w:val="20"/>
              </w:rPr>
            </w:pPr>
            <w:r>
              <w:rPr>
                <w:color w:val="231F20"/>
                <w:spacing w:val="-5"/>
                <w:w w:val="70"/>
                <w:sz w:val="20"/>
              </w:rPr>
              <w:t>the</w:t>
            </w:r>
          </w:p>
        </w:tc>
        <w:tc>
          <w:tcPr>
            <w:tcW w:w="1103" w:type="dxa"/>
          </w:tcPr>
          <w:p>
            <w:pPr>
              <w:pStyle w:val="TableParagraph"/>
              <w:ind w:right="221"/>
              <w:jc w:val="right"/>
              <w:rPr>
                <w:sz w:val="20"/>
              </w:rPr>
            </w:pPr>
            <w:r>
              <w:rPr>
                <w:color w:val="231F20"/>
                <w:w w:val="55"/>
                <w:sz w:val="20"/>
              </w:rPr>
              <w:t>ratio</w:t>
            </w:r>
            <w:r>
              <w:rPr>
                <w:color w:val="231F20"/>
                <w:spacing w:val="6"/>
                <w:sz w:val="20"/>
              </w:rPr>
              <w:t> </w:t>
            </w:r>
            <w:r>
              <w:rPr>
                <w:color w:val="231F20"/>
                <w:w w:val="55"/>
                <w:sz w:val="20"/>
              </w:rPr>
              <w:t>of</w:t>
            </w:r>
            <w:r>
              <w:rPr>
                <w:color w:val="231F20"/>
                <w:spacing w:val="5"/>
                <w:sz w:val="20"/>
              </w:rPr>
              <w:t> </w:t>
            </w:r>
            <w:r>
              <w:rPr>
                <w:color w:val="231F20"/>
                <w:spacing w:val="-5"/>
                <w:w w:val="55"/>
                <w:sz w:val="20"/>
              </w:rPr>
              <w:t>the</w:t>
            </w:r>
          </w:p>
        </w:tc>
        <w:tc>
          <w:tcPr>
            <w:tcW w:w="624" w:type="dxa"/>
          </w:tcPr>
          <w:p>
            <w:pPr>
              <w:pStyle w:val="TableParagraph"/>
              <w:ind w:right="-15"/>
              <w:jc w:val="right"/>
              <w:rPr>
                <w:sz w:val="20"/>
              </w:rPr>
            </w:pPr>
            <w:r>
              <w:rPr>
                <w:color w:val="231F20"/>
                <w:w w:val="55"/>
                <w:sz w:val="20"/>
              </w:rPr>
              <w:t>as</w:t>
            </w:r>
            <w:r>
              <w:rPr>
                <w:color w:val="231F20"/>
                <w:spacing w:val="-5"/>
                <w:sz w:val="20"/>
              </w:rPr>
              <w:t> </w:t>
            </w:r>
            <w:r>
              <w:rPr>
                <w:color w:val="231F20"/>
                <w:w w:val="55"/>
                <w:sz w:val="20"/>
              </w:rPr>
              <w:t>at</w:t>
            </w:r>
            <w:r>
              <w:rPr>
                <w:color w:val="231F20"/>
                <w:spacing w:val="-4"/>
                <w:sz w:val="20"/>
              </w:rPr>
              <w:t> </w:t>
            </w:r>
            <w:r>
              <w:rPr>
                <w:color w:val="231F20"/>
                <w:spacing w:val="-5"/>
                <w:w w:val="55"/>
                <w:sz w:val="20"/>
              </w:rPr>
              <w:t>the</w:t>
            </w:r>
          </w:p>
        </w:tc>
        <w:tc>
          <w:tcPr>
            <w:tcW w:w="851" w:type="dxa"/>
            <w:gridSpan w:val="2"/>
          </w:tcPr>
          <w:p>
            <w:pPr>
              <w:pStyle w:val="TableParagraph"/>
              <w:ind w:left="359" w:right="-15"/>
              <w:rPr>
                <w:sz w:val="20"/>
              </w:rPr>
            </w:pPr>
            <w:r>
              <w:rPr>
                <w:color w:val="231F20"/>
                <w:spacing w:val="-2"/>
                <w:w w:val="60"/>
                <w:sz w:val="20"/>
              </w:rPr>
              <w:t>guarantee</w:t>
            </w:r>
          </w:p>
        </w:tc>
        <w:tc>
          <w:tcPr>
            <w:tcW w:w="851" w:type="dxa"/>
            <w:gridSpan w:val="2"/>
          </w:tcPr>
          <w:p>
            <w:pPr>
              <w:pStyle w:val="TableParagraph"/>
              <w:ind w:left="296" w:right="-15"/>
              <w:rPr>
                <w:sz w:val="20"/>
              </w:rPr>
            </w:pPr>
            <w:r>
              <w:rPr>
                <w:color w:val="231F20"/>
                <w:w w:val="60"/>
                <w:sz w:val="20"/>
              </w:rPr>
              <w:t>(Subject</w:t>
            </w:r>
            <w:r>
              <w:rPr>
                <w:color w:val="231F20"/>
                <w:spacing w:val="5"/>
                <w:sz w:val="20"/>
              </w:rPr>
              <w:t> </w:t>
            </w:r>
            <w:r>
              <w:rPr>
                <w:color w:val="231F20"/>
                <w:spacing w:val="-5"/>
                <w:w w:val="65"/>
                <w:sz w:val="20"/>
              </w:rPr>
              <w:t>to</w:t>
            </w:r>
          </w:p>
        </w:tc>
        <w:tc>
          <w:tcPr>
            <w:tcW w:w="905" w:type="dxa"/>
            <w:gridSpan w:val="2"/>
          </w:tcPr>
          <w:p>
            <w:pPr>
              <w:pStyle w:val="TableParagraph"/>
              <w:ind w:left="504"/>
              <w:rPr>
                <w:sz w:val="20"/>
              </w:rPr>
            </w:pPr>
            <w:r>
              <w:rPr>
                <w:color w:val="231F20"/>
                <w:spacing w:val="-2"/>
                <w:w w:val="65"/>
                <w:sz w:val="20"/>
              </w:rPr>
              <w:t>related</w:t>
            </w:r>
          </w:p>
        </w:tc>
      </w:tr>
      <w:tr>
        <w:trPr>
          <w:trHeight w:val="280" w:hRule="atLeast"/>
        </w:trPr>
        <w:tc>
          <w:tcPr>
            <w:tcW w:w="2659" w:type="dxa"/>
            <w:gridSpan w:val="2"/>
            <w:vMerge/>
            <w:tcBorders>
              <w:top w:val="nil"/>
            </w:tcBorders>
          </w:tcPr>
          <w:p>
            <w:pPr>
              <w:rPr>
                <w:sz w:val="2"/>
                <w:szCs w:val="2"/>
              </w:rPr>
            </w:pPr>
          </w:p>
        </w:tc>
        <w:tc>
          <w:tcPr>
            <w:tcW w:w="1050" w:type="dxa"/>
          </w:tcPr>
          <w:p>
            <w:pPr>
              <w:pStyle w:val="TableParagraph"/>
              <w:ind w:left="239"/>
              <w:rPr>
                <w:sz w:val="20"/>
              </w:rPr>
            </w:pPr>
            <w:r>
              <w:rPr>
                <w:color w:val="231F20"/>
                <w:spacing w:val="-2"/>
                <w:w w:val="70"/>
                <w:sz w:val="20"/>
              </w:rPr>
              <w:t>guaranteed</w:t>
            </w:r>
          </w:p>
        </w:tc>
        <w:tc>
          <w:tcPr>
            <w:tcW w:w="1103" w:type="dxa"/>
          </w:tcPr>
          <w:p>
            <w:pPr>
              <w:pStyle w:val="TableParagraph"/>
              <w:ind w:right="221"/>
              <w:jc w:val="right"/>
              <w:rPr>
                <w:sz w:val="20"/>
              </w:rPr>
            </w:pPr>
            <w:r>
              <w:rPr>
                <w:color w:val="231F20"/>
                <w:spacing w:val="-2"/>
                <w:w w:val="70"/>
                <w:sz w:val="20"/>
              </w:rPr>
              <w:t>guaranteed</w:t>
            </w:r>
          </w:p>
        </w:tc>
        <w:tc>
          <w:tcPr>
            <w:tcW w:w="624" w:type="dxa"/>
          </w:tcPr>
          <w:p>
            <w:pPr>
              <w:pStyle w:val="TableParagraph"/>
              <w:ind w:right="-15"/>
              <w:jc w:val="right"/>
              <w:rPr>
                <w:sz w:val="20"/>
              </w:rPr>
            </w:pPr>
            <w:r>
              <w:rPr>
                <w:color w:val="231F20"/>
                <w:w w:val="60"/>
                <w:sz w:val="20"/>
              </w:rPr>
              <w:t>date</w:t>
            </w:r>
            <w:r>
              <w:rPr>
                <w:color w:val="231F20"/>
                <w:spacing w:val="-5"/>
                <w:sz w:val="20"/>
              </w:rPr>
              <w:t> </w:t>
            </w:r>
            <w:r>
              <w:rPr>
                <w:color w:val="231F20"/>
                <w:spacing w:val="-2"/>
                <w:w w:val="70"/>
                <w:sz w:val="20"/>
              </w:rPr>
              <w:t>herein</w:t>
            </w:r>
          </w:p>
        </w:tc>
        <w:tc>
          <w:tcPr>
            <w:tcW w:w="851" w:type="dxa"/>
            <w:gridSpan w:val="2"/>
          </w:tcPr>
          <w:p>
            <w:pPr>
              <w:pStyle w:val="TableParagraph"/>
              <w:ind w:left="475" w:right="-15"/>
              <w:rPr>
                <w:sz w:val="20"/>
              </w:rPr>
            </w:pPr>
            <w:r>
              <w:rPr>
                <w:color w:val="231F20"/>
                <w:spacing w:val="-2"/>
                <w:w w:val="60"/>
                <w:sz w:val="20"/>
              </w:rPr>
              <w:t>amount</w:t>
            </w:r>
          </w:p>
        </w:tc>
        <w:tc>
          <w:tcPr>
            <w:tcW w:w="851" w:type="dxa"/>
            <w:gridSpan w:val="2"/>
          </w:tcPr>
          <w:p>
            <w:pPr>
              <w:pStyle w:val="TableParagraph"/>
              <w:ind w:left="395" w:right="-15"/>
              <w:rPr>
                <w:sz w:val="20"/>
              </w:rPr>
            </w:pPr>
            <w:r>
              <w:rPr>
                <w:color w:val="231F20"/>
                <w:spacing w:val="-2"/>
                <w:w w:val="60"/>
                <w:sz w:val="20"/>
              </w:rPr>
              <w:t>rounding</w:t>
            </w:r>
          </w:p>
        </w:tc>
        <w:tc>
          <w:tcPr>
            <w:tcW w:w="905" w:type="dxa"/>
            <w:gridSpan w:val="2"/>
          </w:tcPr>
          <w:p>
            <w:pPr>
              <w:pStyle w:val="TableParagraph"/>
              <w:ind w:left="309"/>
              <w:rPr>
                <w:sz w:val="20"/>
              </w:rPr>
            </w:pPr>
            <w:r>
              <w:rPr>
                <w:color w:val="231F20"/>
                <w:spacing w:val="-2"/>
                <w:w w:val="65"/>
                <w:sz w:val="20"/>
              </w:rPr>
              <w:t>guarantees</w:t>
            </w:r>
          </w:p>
        </w:tc>
      </w:tr>
      <w:tr>
        <w:trPr>
          <w:trHeight w:val="420" w:hRule="atLeast"/>
        </w:trPr>
        <w:tc>
          <w:tcPr>
            <w:tcW w:w="1398" w:type="dxa"/>
          </w:tcPr>
          <w:p>
            <w:pPr>
              <w:pStyle w:val="TableParagraph"/>
              <w:ind w:left="50"/>
              <w:rPr>
                <w:sz w:val="20"/>
              </w:rPr>
            </w:pPr>
            <w:r>
              <w:rPr>
                <w:color w:val="231F20"/>
                <w:spacing w:val="-2"/>
                <w:w w:val="70"/>
                <w:sz w:val="20"/>
              </w:rPr>
              <w:t>Guarantor</w:t>
            </w:r>
          </w:p>
        </w:tc>
        <w:tc>
          <w:tcPr>
            <w:tcW w:w="1261" w:type="dxa"/>
          </w:tcPr>
          <w:p>
            <w:pPr>
              <w:pStyle w:val="TableParagraph"/>
              <w:ind w:left="125"/>
              <w:rPr>
                <w:sz w:val="20"/>
              </w:rPr>
            </w:pPr>
            <w:r>
              <w:rPr>
                <w:color w:val="231F20"/>
                <w:w w:val="60"/>
                <w:sz w:val="20"/>
              </w:rPr>
              <w:t>Guaranteed</w:t>
            </w:r>
            <w:r>
              <w:rPr>
                <w:color w:val="231F20"/>
                <w:spacing w:val="11"/>
                <w:sz w:val="20"/>
              </w:rPr>
              <w:t> </w:t>
            </w:r>
            <w:r>
              <w:rPr>
                <w:color w:val="231F20"/>
                <w:spacing w:val="-2"/>
                <w:w w:val="70"/>
                <w:sz w:val="20"/>
              </w:rPr>
              <w:t>party</w:t>
            </w:r>
          </w:p>
        </w:tc>
        <w:tc>
          <w:tcPr>
            <w:tcW w:w="1050" w:type="dxa"/>
          </w:tcPr>
          <w:p>
            <w:pPr>
              <w:pStyle w:val="TableParagraph"/>
              <w:ind w:left="533"/>
              <w:rPr>
                <w:sz w:val="20"/>
              </w:rPr>
            </w:pPr>
            <w:r>
              <w:rPr>
                <w:color w:val="231F20"/>
                <w:spacing w:val="-2"/>
                <w:w w:val="70"/>
                <w:sz w:val="20"/>
              </w:rPr>
              <w:t>party</w:t>
            </w:r>
          </w:p>
        </w:tc>
        <w:tc>
          <w:tcPr>
            <w:tcW w:w="1103" w:type="dxa"/>
          </w:tcPr>
          <w:p>
            <w:pPr>
              <w:pStyle w:val="TableParagraph"/>
              <w:ind w:right="221"/>
              <w:jc w:val="right"/>
              <w:rPr>
                <w:sz w:val="20"/>
              </w:rPr>
            </w:pPr>
            <w:r>
              <w:rPr>
                <w:color w:val="231F20"/>
                <w:spacing w:val="-2"/>
                <w:w w:val="70"/>
                <w:sz w:val="20"/>
              </w:rPr>
              <w:t>party</w:t>
            </w:r>
          </w:p>
        </w:tc>
        <w:tc>
          <w:tcPr>
            <w:tcW w:w="2326" w:type="dxa"/>
            <w:gridSpan w:val="5"/>
          </w:tcPr>
          <w:p>
            <w:pPr>
              <w:pStyle w:val="TableParagraph"/>
              <w:ind w:left="10" w:right="-15"/>
              <w:rPr>
                <w:sz w:val="20"/>
              </w:rPr>
            </w:pPr>
            <w:r>
              <w:rPr>
                <w:color w:val="231F20"/>
                <w:w w:val="65"/>
                <w:sz w:val="20"/>
              </w:rPr>
              <w:t>(RMB0’000)</w:t>
            </w:r>
            <w:r>
              <w:rPr>
                <w:color w:val="231F20"/>
                <w:spacing w:val="28"/>
                <w:sz w:val="20"/>
              </w:rPr>
              <w:t>  </w:t>
            </w:r>
            <w:r>
              <w:rPr>
                <w:color w:val="231F20"/>
                <w:w w:val="65"/>
                <w:sz w:val="20"/>
              </w:rPr>
              <w:t>(RMB0’000)</w:t>
            </w:r>
            <w:r>
              <w:rPr>
                <w:color w:val="231F20"/>
                <w:spacing w:val="57"/>
                <w:w w:val="150"/>
                <w:sz w:val="20"/>
              </w:rPr>
              <w:t> </w:t>
            </w:r>
            <w:r>
              <w:rPr>
                <w:color w:val="231F20"/>
                <w:spacing w:val="-2"/>
                <w:w w:val="60"/>
                <w:sz w:val="20"/>
              </w:rPr>
              <w:t>adjustments)</w:t>
            </w:r>
          </w:p>
        </w:tc>
        <w:tc>
          <w:tcPr>
            <w:tcW w:w="905" w:type="dxa"/>
            <w:gridSpan w:val="2"/>
          </w:tcPr>
          <w:p>
            <w:pPr>
              <w:pStyle w:val="TableParagraph"/>
              <w:ind w:left="213"/>
              <w:rPr>
                <w:sz w:val="20"/>
              </w:rPr>
            </w:pPr>
            <w:r>
              <w:rPr>
                <w:color w:val="231F20"/>
                <w:w w:val="60"/>
                <w:sz w:val="20"/>
              </w:rPr>
              <w:t>are</w:t>
            </w:r>
            <w:r>
              <w:rPr>
                <w:color w:val="231F20"/>
                <w:spacing w:val="-8"/>
                <w:sz w:val="20"/>
              </w:rPr>
              <w:t> </w:t>
            </w:r>
            <w:r>
              <w:rPr>
                <w:color w:val="231F20"/>
                <w:spacing w:val="-2"/>
                <w:w w:val="65"/>
                <w:sz w:val="20"/>
              </w:rPr>
              <w:t>provided</w:t>
            </w:r>
          </w:p>
        </w:tc>
      </w:tr>
      <w:tr>
        <w:trPr>
          <w:trHeight w:val="420" w:hRule="atLeast"/>
        </w:trPr>
        <w:tc>
          <w:tcPr>
            <w:tcW w:w="1398" w:type="dxa"/>
          </w:tcPr>
          <w:p>
            <w:pPr>
              <w:pStyle w:val="TableParagraph"/>
              <w:spacing w:before="161"/>
              <w:ind w:left="50"/>
              <w:rPr>
                <w:sz w:val="20"/>
              </w:rPr>
            </w:pPr>
            <w:r>
              <w:rPr>
                <w:color w:val="231F20"/>
                <w:w w:val="60"/>
                <w:sz w:val="20"/>
              </w:rPr>
              <w:t>Xiamen</w:t>
            </w:r>
            <w:r>
              <w:rPr>
                <w:color w:val="231F20"/>
                <w:spacing w:val="-3"/>
                <w:sz w:val="20"/>
              </w:rPr>
              <w:t> </w:t>
            </w:r>
            <w:r>
              <w:rPr>
                <w:color w:val="231F20"/>
                <w:w w:val="60"/>
                <w:sz w:val="20"/>
              </w:rPr>
              <w:t>Jihong</w:t>
            </w:r>
            <w:r>
              <w:rPr>
                <w:color w:val="231F20"/>
                <w:spacing w:val="-1"/>
                <w:sz w:val="20"/>
              </w:rPr>
              <w:t> </w:t>
            </w:r>
            <w:r>
              <w:rPr>
                <w:color w:val="231F20"/>
                <w:w w:val="60"/>
                <w:sz w:val="20"/>
              </w:rPr>
              <w:t>Co.,</w:t>
            </w:r>
            <w:r>
              <w:rPr>
                <w:color w:val="231F20"/>
                <w:spacing w:val="-1"/>
                <w:sz w:val="20"/>
              </w:rPr>
              <w:t> </w:t>
            </w:r>
            <w:r>
              <w:rPr>
                <w:color w:val="231F20"/>
                <w:spacing w:val="-5"/>
                <w:w w:val="60"/>
                <w:sz w:val="20"/>
              </w:rPr>
              <w:t>Ltd</w:t>
            </w:r>
          </w:p>
        </w:tc>
        <w:tc>
          <w:tcPr>
            <w:tcW w:w="1261" w:type="dxa"/>
          </w:tcPr>
          <w:p>
            <w:pPr>
              <w:pStyle w:val="TableParagraph"/>
              <w:spacing w:before="161"/>
              <w:ind w:left="126"/>
              <w:rPr>
                <w:sz w:val="20"/>
              </w:rPr>
            </w:pPr>
            <w:r>
              <w:rPr>
                <w:color w:val="231F20"/>
                <w:w w:val="60"/>
                <w:sz w:val="20"/>
              </w:rPr>
              <w:t>Langfang</w:t>
            </w:r>
            <w:r>
              <w:rPr>
                <w:color w:val="231F20"/>
                <w:spacing w:val="7"/>
                <w:sz w:val="20"/>
              </w:rPr>
              <w:t> </w:t>
            </w:r>
            <w:r>
              <w:rPr>
                <w:color w:val="231F20"/>
                <w:spacing w:val="-2"/>
                <w:w w:val="70"/>
                <w:sz w:val="20"/>
              </w:rPr>
              <w:t>Jihong</w:t>
            </w:r>
          </w:p>
        </w:tc>
        <w:tc>
          <w:tcPr>
            <w:tcW w:w="1050" w:type="dxa"/>
          </w:tcPr>
          <w:p>
            <w:pPr>
              <w:pStyle w:val="TableParagraph"/>
              <w:spacing w:before="161"/>
              <w:ind w:right="152"/>
              <w:jc w:val="right"/>
              <w:rPr>
                <w:sz w:val="20"/>
              </w:rPr>
            </w:pPr>
            <w:r>
              <w:rPr>
                <w:color w:val="231F20"/>
                <w:spacing w:val="-4"/>
                <w:w w:val="70"/>
                <w:sz w:val="20"/>
              </w:rPr>
              <w:t>100%</w:t>
            </w:r>
          </w:p>
        </w:tc>
        <w:tc>
          <w:tcPr>
            <w:tcW w:w="1103" w:type="dxa"/>
          </w:tcPr>
          <w:p>
            <w:pPr>
              <w:pStyle w:val="TableParagraph"/>
              <w:spacing w:before="161"/>
              <w:ind w:right="221"/>
              <w:jc w:val="right"/>
              <w:rPr>
                <w:sz w:val="20"/>
              </w:rPr>
            </w:pPr>
            <w:r>
              <w:rPr>
                <w:color w:val="231F20"/>
                <w:spacing w:val="-2"/>
                <w:w w:val="70"/>
                <w:sz w:val="20"/>
              </w:rPr>
              <w:t>56.53%</w:t>
            </w:r>
          </w:p>
        </w:tc>
        <w:tc>
          <w:tcPr>
            <w:tcW w:w="624" w:type="dxa"/>
          </w:tcPr>
          <w:p>
            <w:pPr>
              <w:pStyle w:val="TableParagraph"/>
              <w:spacing w:before="161"/>
              <w:jc w:val="right"/>
              <w:rPr>
                <w:sz w:val="20"/>
              </w:rPr>
            </w:pPr>
            <w:r>
              <w:rPr>
                <w:color w:val="231F20"/>
                <w:spacing w:val="-10"/>
                <w:w w:val="70"/>
                <w:sz w:val="20"/>
              </w:rPr>
              <w:t>0</w:t>
            </w:r>
          </w:p>
        </w:tc>
        <w:tc>
          <w:tcPr>
            <w:tcW w:w="851" w:type="dxa"/>
            <w:gridSpan w:val="2"/>
          </w:tcPr>
          <w:p>
            <w:pPr>
              <w:pStyle w:val="TableParagraph"/>
              <w:spacing w:before="161"/>
              <w:ind w:right="-15"/>
              <w:jc w:val="right"/>
              <w:rPr>
                <w:sz w:val="20"/>
              </w:rPr>
            </w:pPr>
            <w:r>
              <w:rPr>
                <w:color w:val="231F20"/>
                <w:spacing w:val="-2"/>
                <w:w w:val="70"/>
                <w:sz w:val="20"/>
              </w:rPr>
              <w:t>6,000</w:t>
            </w:r>
          </w:p>
        </w:tc>
        <w:tc>
          <w:tcPr>
            <w:tcW w:w="851" w:type="dxa"/>
            <w:gridSpan w:val="2"/>
          </w:tcPr>
          <w:p>
            <w:pPr>
              <w:pStyle w:val="TableParagraph"/>
              <w:spacing w:before="161"/>
              <w:ind w:left="527" w:right="-15"/>
              <w:rPr>
                <w:sz w:val="20"/>
              </w:rPr>
            </w:pPr>
            <w:r>
              <w:rPr>
                <w:color w:val="231F20"/>
                <w:spacing w:val="-2"/>
                <w:w w:val="60"/>
                <w:sz w:val="20"/>
              </w:rPr>
              <w:t>2.25%</w:t>
            </w:r>
          </w:p>
        </w:tc>
        <w:tc>
          <w:tcPr>
            <w:tcW w:w="905" w:type="dxa"/>
            <w:gridSpan w:val="2"/>
          </w:tcPr>
          <w:p>
            <w:pPr>
              <w:pStyle w:val="TableParagraph"/>
              <w:spacing w:before="161"/>
              <w:ind w:right="50"/>
              <w:jc w:val="right"/>
              <w:rPr>
                <w:sz w:val="20"/>
              </w:rPr>
            </w:pPr>
            <w:r>
              <w:rPr>
                <w:color w:val="231F20"/>
                <w:spacing w:val="-5"/>
                <w:w w:val="70"/>
                <w:sz w:val="20"/>
              </w:rPr>
              <w:t>No</w:t>
            </w:r>
          </w:p>
        </w:tc>
      </w:tr>
      <w:tr>
        <w:trPr>
          <w:trHeight w:val="280" w:hRule="atLeast"/>
        </w:trPr>
        <w:tc>
          <w:tcPr>
            <w:tcW w:w="1398" w:type="dxa"/>
          </w:tcPr>
          <w:p>
            <w:pPr>
              <w:pStyle w:val="TableParagraph"/>
              <w:spacing w:before="0"/>
              <w:rPr>
                <w:sz w:val="16"/>
              </w:rPr>
            </w:pPr>
          </w:p>
        </w:tc>
        <w:tc>
          <w:tcPr>
            <w:tcW w:w="1261" w:type="dxa"/>
          </w:tcPr>
          <w:p>
            <w:pPr>
              <w:pStyle w:val="TableParagraph"/>
              <w:ind w:left="126"/>
              <w:rPr>
                <w:sz w:val="20"/>
              </w:rPr>
            </w:pPr>
            <w:r>
              <w:rPr>
                <w:color w:val="231F20"/>
                <w:w w:val="60"/>
                <w:sz w:val="20"/>
              </w:rPr>
              <w:t>Anhui</w:t>
            </w:r>
            <w:r>
              <w:rPr>
                <w:color w:val="231F20"/>
                <w:spacing w:val="-2"/>
                <w:sz w:val="20"/>
              </w:rPr>
              <w:t> </w:t>
            </w:r>
            <w:r>
              <w:rPr>
                <w:color w:val="231F20"/>
                <w:spacing w:val="-2"/>
                <w:w w:val="70"/>
                <w:sz w:val="20"/>
              </w:rPr>
              <w:t>Jihong</w:t>
            </w:r>
          </w:p>
        </w:tc>
        <w:tc>
          <w:tcPr>
            <w:tcW w:w="1050" w:type="dxa"/>
          </w:tcPr>
          <w:p>
            <w:pPr>
              <w:pStyle w:val="TableParagraph"/>
              <w:ind w:right="152"/>
              <w:jc w:val="right"/>
              <w:rPr>
                <w:sz w:val="20"/>
              </w:rPr>
            </w:pPr>
            <w:r>
              <w:rPr>
                <w:color w:val="231F20"/>
                <w:spacing w:val="-4"/>
                <w:w w:val="70"/>
                <w:sz w:val="20"/>
              </w:rPr>
              <w:t>100%</w:t>
            </w:r>
          </w:p>
        </w:tc>
        <w:tc>
          <w:tcPr>
            <w:tcW w:w="1103" w:type="dxa"/>
          </w:tcPr>
          <w:p>
            <w:pPr>
              <w:pStyle w:val="TableParagraph"/>
              <w:ind w:right="221"/>
              <w:jc w:val="right"/>
              <w:rPr>
                <w:sz w:val="20"/>
              </w:rPr>
            </w:pPr>
            <w:r>
              <w:rPr>
                <w:color w:val="231F20"/>
                <w:spacing w:val="-2"/>
                <w:w w:val="70"/>
                <w:sz w:val="20"/>
              </w:rPr>
              <w:t>27.09%</w:t>
            </w:r>
          </w:p>
        </w:tc>
        <w:tc>
          <w:tcPr>
            <w:tcW w:w="624" w:type="dxa"/>
          </w:tcPr>
          <w:p>
            <w:pPr>
              <w:pStyle w:val="TableParagraph"/>
              <w:ind w:right="-15"/>
              <w:jc w:val="right"/>
              <w:rPr>
                <w:sz w:val="20"/>
              </w:rPr>
            </w:pPr>
            <w:r>
              <w:rPr>
                <w:color w:val="231F20"/>
                <w:spacing w:val="-10"/>
                <w:w w:val="70"/>
                <w:sz w:val="20"/>
              </w:rPr>
              <w:t>0</w:t>
            </w:r>
          </w:p>
        </w:tc>
        <w:tc>
          <w:tcPr>
            <w:tcW w:w="851" w:type="dxa"/>
            <w:gridSpan w:val="2"/>
          </w:tcPr>
          <w:p>
            <w:pPr>
              <w:pStyle w:val="TableParagraph"/>
              <w:ind w:right="-15"/>
              <w:jc w:val="right"/>
              <w:rPr>
                <w:sz w:val="20"/>
              </w:rPr>
            </w:pPr>
            <w:r>
              <w:rPr>
                <w:color w:val="231F20"/>
                <w:spacing w:val="-2"/>
                <w:w w:val="70"/>
                <w:sz w:val="20"/>
              </w:rPr>
              <w:t>3,000</w:t>
            </w:r>
          </w:p>
        </w:tc>
        <w:tc>
          <w:tcPr>
            <w:tcW w:w="851" w:type="dxa"/>
            <w:gridSpan w:val="2"/>
          </w:tcPr>
          <w:p>
            <w:pPr>
              <w:pStyle w:val="TableParagraph"/>
              <w:ind w:left="528" w:right="-15"/>
              <w:rPr>
                <w:sz w:val="20"/>
              </w:rPr>
            </w:pPr>
            <w:r>
              <w:rPr>
                <w:color w:val="231F20"/>
                <w:spacing w:val="-2"/>
                <w:w w:val="60"/>
                <w:sz w:val="20"/>
              </w:rPr>
              <w:t>1.13%</w:t>
            </w:r>
          </w:p>
        </w:tc>
        <w:tc>
          <w:tcPr>
            <w:tcW w:w="905" w:type="dxa"/>
            <w:gridSpan w:val="2"/>
          </w:tcPr>
          <w:p>
            <w:pPr>
              <w:pStyle w:val="TableParagraph"/>
              <w:ind w:right="50"/>
              <w:jc w:val="right"/>
              <w:rPr>
                <w:sz w:val="20"/>
              </w:rPr>
            </w:pPr>
            <w:r>
              <w:rPr>
                <w:color w:val="231F20"/>
                <w:spacing w:val="-5"/>
                <w:w w:val="70"/>
                <w:sz w:val="20"/>
              </w:rPr>
              <w:t>No</w:t>
            </w:r>
          </w:p>
        </w:tc>
      </w:tr>
      <w:tr>
        <w:trPr>
          <w:trHeight w:val="280" w:hRule="atLeast"/>
        </w:trPr>
        <w:tc>
          <w:tcPr>
            <w:tcW w:w="1398" w:type="dxa"/>
          </w:tcPr>
          <w:p>
            <w:pPr>
              <w:pStyle w:val="TableParagraph"/>
              <w:spacing w:before="0"/>
              <w:rPr>
                <w:sz w:val="16"/>
              </w:rPr>
            </w:pPr>
          </w:p>
        </w:tc>
        <w:tc>
          <w:tcPr>
            <w:tcW w:w="1261" w:type="dxa"/>
          </w:tcPr>
          <w:p>
            <w:pPr>
              <w:pStyle w:val="TableParagraph"/>
              <w:ind w:left="126"/>
              <w:rPr>
                <w:sz w:val="20"/>
              </w:rPr>
            </w:pPr>
            <w:r>
              <w:rPr>
                <w:color w:val="231F20"/>
                <w:w w:val="60"/>
                <w:sz w:val="20"/>
              </w:rPr>
              <w:t>VStar</w:t>
            </w:r>
            <w:r>
              <w:rPr>
                <w:color w:val="231F20"/>
                <w:spacing w:val="-2"/>
                <w:sz w:val="20"/>
              </w:rPr>
              <w:t> </w:t>
            </w:r>
            <w:r>
              <w:rPr>
                <w:color w:val="231F20"/>
                <w:spacing w:val="-2"/>
                <w:w w:val="70"/>
                <w:sz w:val="20"/>
              </w:rPr>
              <w:t>Packaging</w:t>
            </w:r>
          </w:p>
        </w:tc>
        <w:tc>
          <w:tcPr>
            <w:tcW w:w="1050" w:type="dxa"/>
          </w:tcPr>
          <w:p>
            <w:pPr>
              <w:pStyle w:val="TableParagraph"/>
              <w:ind w:right="151"/>
              <w:jc w:val="right"/>
              <w:rPr>
                <w:sz w:val="20"/>
              </w:rPr>
            </w:pPr>
            <w:r>
              <w:rPr>
                <w:color w:val="231F20"/>
                <w:spacing w:val="-4"/>
                <w:w w:val="70"/>
                <w:sz w:val="20"/>
              </w:rPr>
              <w:t>100%</w:t>
            </w:r>
          </w:p>
        </w:tc>
        <w:tc>
          <w:tcPr>
            <w:tcW w:w="1103" w:type="dxa"/>
          </w:tcPr>
          <w:p>
            <w:pPr>
              <w:pStyle w:val="TableParagraph"/>
              <w:ind w:right="222"/>
              <w:jc w:val="right"/>
              <w:rPr>
                <w:sz w:val="20"/>
              </w:rPr>
            </w:pPr>
            <w:r>
              <w:rPr>
                <w:color w:val="231F20"/>
                <w:spacing w:val="-2"/>
                <w:w w:val="70"/>
                <w:sz w:val="20"/>
              </w:rPr>
              <w:t>67.46%</w:t>
            </w:r>
          </w:p>
        </w:tc>
        <w:tc>
          <w:tcPr>
            <w:tcW w:w="624" w:type="dxa"/>
          </w:tcPr>
          <w:p>
            <w:pPr>
              <w:pStyle w:val="TableParagraph"/>
              <w:ind w:right="-15"/>
              <w:jc w:val="right"/>
              <w:rPr>
                <w:sz w:val="20"/>
              </w:rPr>
            </w:pPr>
            <w:r>
              <w:rPr>
                <w:color w:val="231F20"/>
                <w:spacing w:val="-10"/>
                <w:w w:val="70"/>
                <w:sz w:val="20"/>
              </w:rPr>
              <w:t>0</w:t>
            </w:r>
          </w:p>
        </w:tc>
        <w:tc>
          <w:tcPr>
            <w:tcW w:w="851" w:type="dxa"/>
            <w:gridSpan w:val="2"/>
          </w:tcPr>
          <w:p>
            <w:pPr>
              <w:pStyle w:val="TableParagraph"/>
              <w:ind w:right="-15"/>
              <w:jc w:val="right"/>
              <w:rPr>
                <w:sz w:val="20"/>
              </w:rPr>
            </w:pPr>
            <w:r>
              <w:rPr>
                <w:color w:val="231F20"/>
                <w:spacing w:val="-2"/>
                <w:w w:val="70"/>
                <w:sz w:val="20"/>
              </w:rPr>
              <w:t>3,000</w:t>
            </w:r>
          </w:p>
        </w:tc>
        <w:tc>
          <w:tcPr>
            <w:tcW w:w="851" w:type="dxa"/>
            <w:gridSpan w:val="2"/>
          </w:tcPr>
          <w:p>
            <w:pPr>
              <w:pStyle w:val="TableParagraph"/>
              <w:ind w:left="528" w:right="-15"/>
              <w:rPr>
                <w:sz w:val="20"/>
              </w:rPr>
            </w:pPr>
            <w:r>
              <w:rPr>
                <w:color w:val="231F20"/>
                <w:spacing w:val="-2"/>
                <w:w w:val="60"/>
                <w:sz w:val="20"/>
              </w:rPr>
              <w:t>1.13%</w:t>
            </w:r>
          </w:p>
        </w:tc>
        <w:tc>
          <w:tcPr>
            <w:tcW w:w="905" w:type="dxa"/>
            <w:gridSpan w:val="2"/>
          </w:tcPr>
          <w:p>
            <w:pPr>
              <w:pStyle w:val="TableParagraph"/>
              <w:ind w:right="50"/>
              <w:jc w:val="right"/>
              <w:rPr>
                <w:sz w:val="20"/>
              </w:rPr>
            </w:pPr>
            <w:r>
              <w:rPr>
                <w:color w:val="231F20"/>
                <w:spacing w:val="-5"/>
                <w:w w:val="70"/>
                <w:sz w:val="20"/>
              </w:rPr>
              <w:t>No</w:t>
            </w:r>
          </w:p>
        </w:tc>
      </w:tr>
      <w:tr>
        <w:trPr>
          <w:trHeight w:val="280" w:hRule="atLeast"/>
        </w:trPr>
        <w:tc>
          <w:tcPr>
            <w:tcW w:w="1398" w:type="dxa"/>
          </w:tcPr>
          <w:p>
            <w:pPr>
              <w:pStyle w:val="TableParagraph"/>
              <w:spacing w:before="0"/>
              <w:rPr>
                <w:sz w:val="16"/>
              </w:rPr>
            </w:pPr>
          </w:p>
        </w:tc>
        <w:tc>
          <w:tcPr>
            <w:tcW w:w="1261" w:type="dxa"/>
          </w:tcPr>
          <w:p>
            <w:pPr>
              <w:pStyle w:val="TableParagraph"/>
              <w:ind w:left="126"/>
              <w:rPr>
                <w:sz w:val="20"/>
              </w:rPr>
            </w:pPr>
            <w:r>
              <w:rPr>
                <w:color w:val="231F20"/>
                <w:w w:val="60"/>
                <w:sz w:val="20"/>
              </w:rPr>
              <w:t>Jihong</w:t>
            </w:r>
            <w:r>
              <w:rPr>
                <w:color w:val="231F20"/>
                <w:spacing w:val="1"/>
                <w:sz w:val="20"/>
              </w:rPr>
              <w:t> </w:t>
            </w:r>
            <w:r>
              <w:rPr>
                <w:color w:val="231F20"/>
                <w:spacing w:val="-2"/>
                <w:w w:val="70"/>
                <w:sz w:val="20"/>
              </w:rPr>
              <w:t>Industry</w:t>
            </w:r>
          </w:p>
        </w:tc>
        <w:tc>
          <w:tcPr>
            <w:tcW w:w="1050" w:type="dxa"/>
          </w:tcPr>
          <w:p>
            <w:pPr>
              <w:pStyle w:val="TableParagraph"/>
              <w:ind w:right="151"/>
              <w:jc w:val="right"/>
              <w:rPr>
                <w:sz w:val="20"/>
              </w:rPr>
            </w:pPr>
            <w:r>
              <w:rPr>
                <w:color w:val="231F20"/>
                <w:spacing w:val="-4"/>
                <w:w w:val="70"/>
                <w:sz w:val="20"/>
              </w:rPr>
              <w:t>100%</w:t>
            </w:r>
          </w:p>
        </w:tc>
        <w:tc>
          <w:tcPr>
            <w:tcW w:w="1103" w:type="dxa"/>
          </w:tcPr>
          <w:p>
            <w:pPr>
              <w:pStyle w:val="TableParagraph"/>
              <w:ind w:right="220"/>
              <w:jc w:val="right"/>
              <w:rPr>
                <w:sz w:val="20"/>
              </w:rPr>
            </w:pPr>
            <w:r>
              <w:rPr>
                <w:color w:val="231F20"/>
                <w:spacing w:val="-2"/>
                <w:w w:val="70"/>
                <w:sz w:val="20"/>
              </w:rPr>
              <w:t>68.79%</w:t>
            </w:r>
          </w:p>
        </w:tc>
        <w:tc>
          <w:tcPr>
            <w:tcW w:w="624" w:type="dxa"/>
          </w:tcPr>
          <w:p>
            <w:pPr>
              <w:pStyle w:val="TableParagraph"/>
              <w:ind w:right="-15"/>
              <w:jc w:val="right"/>
              <w:rPr>
                <w:sz w:val="20"/>
              </w:rPr>
            </w:pPr>
            <w:r>
              <w:rPr>
                <w:color w:val="231F20"/>
                <w:spacing w:val="-10"/>
                <w:w w:val="70"/>
                <w:sz w:val="20"/>
              </w:rPr>
              <w:t>0</w:t>
            </w:r>
          </w:p>
        </w:tc>
        <w:tc>
          <w:tcPr>
            <w:tcW w:w="851" w:type="dxa"/>
            <w:gridSpan w:val="2"/>
          </w:tcPr>
          <w:p>
            <w:pPr>
              <w:pStyle w:val="TableParagraph"/>
              <w:ind w:right="-15"/>
              <w:jc w:val="right"/>
              <w:rPr>
                <w:sz w:val="20"/>
              </w:rPr>
            </w:pPr>
            <w:r>
              <w:rPr>
                <w:color w:val="231F20"/>
                <w:spacing w:val="-2"/>
                <w:w w:val="70"/>
                <w:sz w:val="20"/>
              </w:rPr>
              <w:t>3,000</w:t>
            </w:r>
          </w:p>
        </w:tc>
        <w:tc>
          <w:tcPr>
            <w:tcW w:w="851" w:type="dxa"/>
            <w:gridSpan w:val="2"/>
          </w:tcPr>
          <w:p>
            <w:pPr>
              <w:pStyle w:val="TableParagraph"/>
              <w:ind w:left="528" w:right="-15"/>
              <w:rPr>
                <w:sz w:val="20"/>
              </w:rPr>
            </w:pPr>
            <w:r>
              <w:rPr>
                <w:color w:val="231F20"/>
                <w:spacing w:val="-2"/>
                <w:w w:val="60"/>
                <w:sz w:val="20"/>
              </w:rPr>
              <w:t>1.13%</w:t>
            </w:r>
          </w:p>
        </w:tc>
        <w:tc>
          <w:tcPr>
            <w:tcW w:w="905" w:type="dxa"/>
            <w:gridSpan w:val="2"/>
          </w:tcPr>
          <w:p>
            <w:pPr>
              <w:pStyle w:val="TableParagraph"/>
              <w:ind w:right="51"/>
              <w:jc w:val="right"/>
              <w:rPr>
                <w:sz w:val="20"/>
              </w:rPr>
            </w:pPr>
            <w:r>
              <w:rPr>
                <w:color w:val="231F20"/>
                <w:spacing w:val="-5"/>
                <w:w w:val="70"/>
                <w:sz w:val="20"/>
              </w:rPr>
              <w:t>No</w:t>
            </w:r>
          </w:p>
        </w:tc>
      </w:tr>
      <w:tr>
        <w:trPr>
          <w:trHeight w:val="280" w:hRule="atLeast"/>
        </w:trPr>
        <w:tc>
          <w:tcPr>
            <w:tcW w:w="1398" w:type="dxa"/>
          </w:tcPr>
          <w:p>
            <w:pPr>
              <w:pStyle w:val="TableParagraph"/>
              <w:spacing w:before="0"/>
              <w:rPr>
                <w:sz w:val="16"/>
              </w:rPr>
            </w:pPr>
          </w:p>
        </w:tc>
        <w:tc>
          <w:tcPr>
            <w:tcW w:w="1261" w:type="dxa"/>
          </w:tcPr>
          <w:p>
            <w:pPr>
              <w:pStyle w:val="TableParagraph"/>
              <w:ind w:left="127"/>
              <w:rPr>
                <w:sz w:val="20"/>
              </w:rPr>
            </w:pPr>
            <w:r>
              <w:rPr>
                <w:color w:val="231F20"/>
                <w:w w:val="60"/>
                <w:sz w:val="20"/>
              </w:rPr>
              <w:t>Ningxia</w:t>
            </w:r>
            <w:r>
              <w:rPr>
                <w:color w:val="231F20"/>
                <w:spacing w:val="4"/>
                <w:sz w:val="20"/>
              </w:rPr>
              <w:t> </w:t>
            </w:r>
            <w:r>
              <w:rPr>
                <w:color w:val="231F20"/>
                <w:spacing w:val="-2"/>
                <w:w w:val="70"/>
                <w:sz w:val="20"/>
              </w:rPr>
              <w:t>Jihong</w:t>
            </w:r>
          </w:p>
        </w:tc>
        <w:tc>
          <w:tcPr>
            <w:tcW w:w="1050" w:type="dxa"/>
          </w:tcPr>
          <w:p>
            <w:pPr>
              <w:pStyle w:val="TableParagraph"/>
              <w:ind w:right="151"/>
              <w:jc w:val="right"/>
              <w:rPr>
                <w:sz w:val="20"/>
              </w:rPr>
            </w:pPr>
            <w:r>
              <w:rPr>
                <w:color w:val="231F20"/>
                <w:spacing w:val="-4"/>
                <w:w w:val="70"/>
                <w:sz w:val="20"/>
              </w:rPr>
              <w:t>100%</w:t>
            </w:r>
          </w:p>
        </w:tc>
        <w:tc>
          <w:tcPr>
            <w:tcW w:w="1103" w:type="dxa"/>
          </w:tcPr>
          <w:p>
            <w:pPr>
              <w:pStyle w:val="TableParagraph"/>
              <w:ind w:right="220"/>
              <w:jc w:val="right"/>
              <w:rPr>
                <w:sz w:val="20"/>
              </w:rPr>
            </w:pPr>
            <w:r>
              <w:rPr>
                <w:color w:val="231F20"/>
                <w:spacing w:val="-2"/>
                <w:w w:val="70"/>
                <w:sz w:val="20"/>
              </w:rPr>
              <w:t>15.59%</w:t>
            </w:r>
          </w:p>
        </w:tc>
        <w:tc>
          <w:tcPr>
            <w:tcW w:w="624" w:type="dxa"/>
          </w:tcPr>
          <w:p>
            <w:pPr>
              <w:pStyle w:val="TableParagraph"/>
              <w:ind w:right="-15"/>
              <w:jc w:val="right"/>
              <w:rPr>
                <w:sz w:val="20"/>
              </w:rPr>
            </w:pPr>
            <w:r>
              <w:rPr>
                <w:color w:val="231F20"/>
                <w:spacing w:val="-10"/>
                <w:w w:val="70"/>
                <w:sz w:val="20"/>
              </w:rPr>
              <w:t>0</w:t>
            </w:r>
          </w:p>
        </w:tc>
        <w:tc>
          <w:tcPr>
            <w:tcW w:w="851" w:type="dxa"/>
            <w:gridSpan w:val="2"/>
          </w:tcPr>
          <w:p>
            <w:pPr>
              <w:pStyle w:val="TableParagraph"/>
              <w:ind w:right="-15"/>
              <w:jc w:val="right"/>
              <w:rPr>
                <w:sz w:val="20"/>
              </w:rPr>
            </w:pPr>
            <w:r>
              <w:rPr>
                <w:color w:val="231F20"/>
                <w:spacing w:val="-2"/>
                <w:w w:val="70"/>
                <w:sz w:val="20"/>
              </w:rPr>
              <w:t>2,000</w:t>
            </w:r>
          </w:p>
        </w:tc>
        <w:tc>
          <w:tcPr>
            <w:tcW w:w="851" w:type="dxa"/>
            <w:gridSpan w:val="2"/>
          </w:tcPr>
          <w:p>
            <w:pPr>
              <w:pStyle w:val="TableParagraph"/>
              <w:ind w:left="528" w:right="-15"/>
              <w:rPr>
                <w:sz w:val="20"/>
              </w:rPr>
            </w:pPr>
            <w:r>
              <w:rPr>
                <w:color w:val="231F20"/>
                <w:spacing w:val="-2"/>
                <w:w w:val="60"/>
                <w:sz w:val="20"/>
              </w:rPr>
              <w:t>0.75%</w:t>
            </w:r>
          </w:p>
        </w:tc>
        <w:tc>
          <w:tcPr>
            <w:tcW w:w="905" w:type="dxa"/>
            <w:gridSpan w:val="2"/>
          </w:tcPr>
          <w:p>
            <w:pPr>
              <w:pStyle w:val="TableParagraph"/>
              <w:ind w:right="49"/>
              <w:jc w:val="right"/>
              <w:rPr>
                <w:sz w:val="20"/>
              </w:rPr>
            </w:pPr>
            <w:r>
              <w:rPr>
                <w:color w:val="231F20"/>
                <w:spacing w:val="-5"/>
                <w:w w:val="70"/>
                <w:sz w:val="20"/>
              </w:rPr>
              <w:t>No</w:t>
            </w:r>
          </w:p>
        </w:tc>
      </w:tr>
      <w:tr>
        <w:trPr>
          <w:trHeight w:val="531" w:hRule="atLeast"/>
        </w:trPr>
        <w:tc>
          <w:tcPr>
            <w:tcW w:w="1398" w:type="dxa"/>
          </w:tcPr>
          <w:p>
            <w:pPr>
              <w:pStyle w:val="TableParagraph"/>
              <w:spacing w:before="0"/>
              <w:rPr>
                <w:sz w:val="16"/>
              </w:rPr>
            </w:pPr>
          </w:p>
        </w:tc>
        <w:tc>
          <w:tcPr>
            <w:tcW w:w="1261" w:type="dxa"/>
          </w:tcPr>
          <w:p>
            <w:pPr>
              <w:pStyle w:val="TableParagraph"/>
              <w:ind w:left="127"/>
              <w:rPr>
                <w:sz w:val="20"/>
              </w:rPr>
            </w:pPr>
            <w:r>
              <w:rPr>
                <w:color w:val="231F20"/>
                <w:w w:val="60"/>
                <w:sz w:val="20"/>
              </w:rPr>
              <w:t>Huanggang</w:t>
            </w:r>
            <w:r>
              <w:rPr>
                <w:color w:val="231F20"/>
                <w:spacing w:val="10"/>
                <w:sz w:val="20"/>
              </w:rPr>
              <w:t> </w:t>
            </w:r>
            <w:r>
              <w:rPr>
                <w:color w:val="231F20"/>
                <w:spacing w:val="-2"/>
                <w:w w:val="70"/>
                <w:sz w:val="20"/>
              </w:rPr>
              <w:t>Jihong</w:t>
            </w:r>
          </w:p>
          <w:p>
            <w:pPr>
              <w:pStyle w:val="TableParagraph"/>
              <w:spacing w:line="210" w:lineRule="exact" w:before="50"/>
              <w:ind w:left="127"/>
              <w:rPr>
                <w:sz w:val="20"/>
              </w:rPr>
            </w:pPr>
            <w:r>
              <w:rPr>
                <w:color w:val="231F20"/>
                <w:w w:val="60"/>
                <w:sz w:val="20"/>
              </w:rPr>
              <w:t>Luanzhou</w:t>
            </w:r>
            <w:r>
              <w:rPr>
                <w:color w:val="231F20"/>
                <w:spacing w:val="7"/>
                <w:sz w:val="20"/>
              </w:rPr>
              <w:t> </w:t>
            </w:r>
            <w:r>
              <w:rPr>
                <w:color w:val="231F20"/>
                <w:spacing w:val="-2"/>
                <w:w w:val="70"/>
                <w:sz w:val="20"/>
              </w:rPr>
              <w:t>Jihong</w:t>
            </w:r>
          </w:p>
        </w:tc>
        <w:tc>
          <w:tcPr>
            <w:tcW w:w="1050" w:type="dxa"/>
          </w:tcPr>
          <w:p>
            <w:pPr>
              <w:pStyle w:val="TableParagraph"/>
              <w:ind w:left="604"/>
              <w:rPr>
                <w:sz w:val="20"/>
              </w:rPr>
            </w:pPr>
            <w:r>
              <w:rPr>
                <w:color w:val="231F20"/>
                <w:spacing w:val="-4"/>
                <w:w w:val="70"/>
                <w:sz w:val="20"/>
              </w:rPr>
              <w:t>100%</w:t>
            </w:r>
          </w:p>
          <w:p>
            <w:pPr>
              <w:pStyle w:val="TableParagraph"/>
              <w:spacing w:line="207" w:lineRule="exact" w:before="54"/>
              <w:ind w:left="668" w:right="-29"/>
              <w:rPr>
                <w:i/>
                <w:sz w:val="12"/>
              </w:rPr>
            </w:pPr>
            <w:r>
              <w:rPr>
                <w:color w:val="231F20"/>
                <w:w w:val="60"/>
                <w:position w:val="-6"/>
                <w:sz w:val="20"/>
              </w:rPr>
              <w:t>60%</w:t>
            </w:r>
            <w:r>
              <w:rPr>
                <w:color w:val="231F20"/>
                <w:spacing w:val="-10"/>
                <w:position w:val="-6"/>
                <w:sz w:val="20"/>
              </w:rPr>
              <w:t> </w:t>
            </w:r>
            <w:r>
              <w:rPr>
                <w:i/>
                <w:color w:val="231F20"/>
                <w:spacing w:val="-4"/>
                <w:w w:val="60"/>
                <w:sz w:val="12"/>
              </w:rPr>
              <w:t>Note</w:t>
            </w:r>
          </w:p>
        </w:tc>
        <w:tc>
          <w:tcPr>
            <w:tcW w:w="1103" w:type="dxa"/>
          </w:tcPr>
          <w:p>
            <w:pPr>
              <w:pStyle w:val="TableParagraph"/>
              <w:ind w:left="492"/>
              <w:rPr>
                <w:sz w:val="20"/>
              </w:rPr>
            </w:pPr>
            <w:r>
              <w:rPr>
                <w:color w:val="231F20"/>
                <w:spacing w:val="-2"/>
                <w:w w:val="70"/>
                <w:sz w:val="20"/>
              </w:rPr>
              <w:t>57.02%</w:t>
            </w:r>
          </w:p>
          <w:p>
            <w:pPr>
              <w:pStyle w:val="TableParagraph"/>
              <w:spacing w:line="210" w:lineRule="exact" w:before="50"/>
              <w:ind w:left="554"/>
              <w:rPr>
                <w:sz w:val="20"/>
              </w:rPr>
            </w:pPr>
            <w:r>
              <w:rPr>
                <w:color w:val="231F20"/>
                <w:spacing w:val="-2"/>
                <w:w w:val="70"/>
                <w:sz w:val="20"/>
              </w:rPr>
              <w:t>7.01%</w:t>
            </w:r>
          </w:p>
        </w:tc>
        <w:tc>
          <w:tcPr>
            <w:tcW w:w="624" w:type="dxa"/>
          </w:tcPr>
          <w:p>
            <w:pPr>
              <w:pStyle w:val="TableParagraph"/>
              <w:ind w:right="-15"/>
              <w:jc w:val="right"/>
              <w:rPr>
                <w:sz w:val="20"/>
              </w:rPr>
            </w:pPr>
            <w:r>
              <w:rPr>
                <w:color w:val="231F20"/>
                <w:spacing w:val="-10"/>
                <w:w w:val="70"/>
                <w:sz w:val="20"/>
              </w:rPr>
              <w:t>0</w:t>
            </w:r>
          </w:p>
          <w:p>
            <w:pPr>
              <w:pStyle w:val="TableParagraph"/>
              <w:spacing w:line="210" w:lineRule="exact" w:before="50"/>
              <w:jc w:val="right"/>
              <w:rPr>
                <w:sz w:val="20"/>
              </w:rPr>
            </w:pPr>
            <w:r>
              <w:rPr>
                <w:color w:val="231F20"/>
                <w:spacing w:val="-10"/>
                <w:w w:val="70"/>
                <w:sz w:val="20"/>
              </w:rPr>
              <w:t>0</w:t>
            </w:r>
          </w:p>
        </w:tc>
        <w:tc>
          <w:tcPr>
            <w:tcW w:w="851" w:type="dxa"/>
            <w:gridSpan w:val="2"/>
          </w:tcPr>
          <w:p>
            <w:pPr>
              <w:pStyle w:val="TableParagraph"/>
              <w:ind w:right="-15"/>
              <w:jc w:val="right"/>
              <w:rPr>
                <w:sz w:val="20"/>
              </w:rPr>
            </w:pPr>
            <w:r>
              <w:rPr>
                <w:color w:val="231F20"/>
                <w:spacing w:val="-2"/>
                <w:w w:val="70"/>
                <w:sz w:val="20"/>
              </w:rPr>
              <w:t>2,000</w:t>
            </w:r>
          </w:p>
          <w:p>
            <w:pPr>
              <w:pStyle w:val="TableParagraph"/>
              <w:spacing w:line="210" w:lineRule="exact" w:before="50"/>
              <w:ind w:right="-15"/>
              <w:jc w:val="right"/>
              <w:rPr>
                <w:sz w:val="20"/>
              </w:rPr>
            </w:pPr>
            <w:r>
              <w:rPr>
                <w:color w:val="231F20"/>
                <w:spacing w:val="-2"/>
                <w:w w:val="70"/>
                <w:sz w:val="20"/>
              </w:rPr>
              <w:t>2,000</w:t>
            </w:r>
          </w:p>
        </w:tc>
        <w:tc>
          <w:tcPr>
            <w:tcW w:w="851" w:type="dxa"/>
            <w:gridSpan w:val="2"/>
          </w:tcPr>
          <w:p>
            <w:pPr>
              <w:pStyle w:val="TableParagraph"/>
              <w:ind w:left="529" w:right="-15"/>
              <w:rPr>
                <w:sz w:val="20"/>
              </w:rPr>
            </w:pPr>
            <w:r>
              <w:rPr>
                <w:color w:val="231F20"/>
                <w:spacing w:val="-2"/>
                <w:w w:val="60"/>
                <w:sz w:val="20"/>
              </w:rPr>
              <w:t>0.75%</w:t>
            </w:r>
          </w:p>
          <w:p>
            <w:pPr>
              <w:pStyle w:val="TableParagraph"/>
              <w:spacing w:line="210" w:lineRule="exact" w:before="50"/>
              <w:ind w:left="527" w:right="-15"/>
              <w:rPr>
                <w:sz w:val="20"/>
              </w:rPr>
            </w:pPr>
            <w:r>
              <w:rPr>
                <w:color w:val="231F20"/>
                <w:spacing w:val="-2"/>
                <w:w w:val="60"/>
                <w:sz w:val="20"/>
              </w:rPr>
              <w:t>0.75%</w:t>
            </w:r>
          </w:p>
        </w:tc>
        <w:tc>
          <w:tcPr>
            <w:tcW w:w="905" w:type="dxa"/>
            <w:gridSpan w:val="2"/>
          </w:tcPr>
          <w:p>
            <w:pPr>
              <w:pStyle w:val="TableParagraph"/>
              <w:ind w:right="49"/>
              <w:jc w:val="right"/>
              <w:rPr>
                <w:sz w:val="20"/>
              </w:rPr>
            </w:pPr>
            <w:r>
              <w:rPr>
                <w:color w:val="231F20"/>
                <w:spacing w:val="-5"/>
                <w:w w:val="70"/>
                <w:sz w:val="20"/>
              </w:rPr>
              <w:t>No</w:t>
            </w:r>
          </w:p>
          <w:p>
            <w:pPr>
              <w:pStyle w:val="TableParagraph"/>
              <w:spacing w:line="210" w:lineRule="exact" w:before="50"/>
              <w:ind w:right="50"/>
              <w:jc w:val="right"/>
              <w:rPr>
                <w:sz w:val="20"/>
              </w:rPr>
            </w:pPr>
            <w:r>
              <w:rPr>
                <w:color w:val="231F20"/>
                <w:spacing w:val="-5"/>
                <w:w w:val="70"/>
                <w:sz w:val="20"/>
              </w:rPr>
              <w:t>No</w:t>
            </w:r>
          </w:p>
        </w:tc>
      </w:tr>
      <w:tr>
        <w:trPr>
          <w:trHeight w:val="308" w:hRule="atLeast"/>
        </w:trPr>
        <w:tc>
          <w:tcPr>
            <w:tcW w:w="1398" w:type="dxa"/>
          </w:tcPr>
          <w:p>
            <w:pPr>
              <w:pStyle w:val="TableParagraph"/>
              <w:spacing w:before="0"/>
              <w:rPr>
                <w:sz w:val="16"/>
              </w:rPr>
            </w:pPr>
          </w:p>
        </w:tc>
        <w:tc>
          <w:tcPr>
            <w:tcW w:w="1261" w:type="dxa"/>
          </w:tcPr>
          <w:p>
            <w:pPr>
              <w:pStyle w:val="TableParagraph"/>
              <w:spacing w:before="49"/>
              <w:ind w:left="126"/>
              <w:rPr>
                <w:sz w:val="20"/>
              </w:rPr>
            </w:pPr>
            <w:r>
              <w:rPr>
                <w:color w:val="231F20"/>
                <w:w w:val="60"/>
                <w:sz w:val="20"/>
              </w:rPr>
              <w:t>Jinan</w:t>
            </w:r>
            <w:r>
              <w:rPr>
                <w:color w:val="231F20"/>
                <w:spacing w:val="-2"/>
                <w:sz w:val="20"/>
              </w:rPr>
              <w:t> </w:t>
            </w:r>
            <w:r>
              <w:rPr>
                <w:color w:val="231F20"/>
                <w:spacing w:val="-2"/>
                <w:w w:val="70"/>
                <w:sz w:val="20"/>
              </w:rPr>
              <w:t>Jilian</w:t>
            </w:r>
          </w:p>
        </w:tc>
        <w:tc>
          <w:tcPr>
            <w:tcW w:w="1050" w:type="dxa"/>
          </w:tcPr>
          <w:p>
            <w:pPr>
              <w:pStyle w:val="TableParagraph"/>
              <w:spacing w:before="49"/>
              <w:ind w:right="152"/>
              <w:jc w:val="right"/>
              <w:rPr>
                <w:sz w:val="20"/>
              </w:rPr>
            </w:pPr>
            <w:r>
              <w:rPr>
                <w:color w:val="231F20"/>
                <w:spacing w:val="-4"/>
                <w:w w:val="70"/>
                <w:sz w:val="20"/>
              </w:rPr>
              <w:t>100%</w:t>
            </w:r>
          </w:p>
        </w:tc>
        <w:tc>
          <w:tcPr>
            <w:tcW w:w="1103" w:type="dxa"/>
          </w:tcPr>
          <w:p>
            <w:pPr>
              <w:pStyle w:val="TableParagraph"/>
              <w:spacing w:before="49"/>
              <w:ind w:right="221"/>
              <w:jc w:val="right"/>
              <w:rPr>
                <w:sz w:val="20"/>
              </w:rPr>
            </w:pPr>
            <w:r>
              <w:rPr>
                <w:color w:val="231F20"/>
                <w:spacing w:val="-2"/>
                <w:w w:val="70"/>
                <w:sz w:val="20"/>
              </w:rPr>
              <w:t>57.89%</w:t>
            </w:r>
          </w:p>
        </w:tc>
        <w:tc>
          <w:tcPr>
            <w:tcW w:w="624" w:type="dxa"/>
          </w:tcPr>
          <w:p>
            <w:pPr>
              <w:pStyle w:val="TableParagraph"/>
              <w:spacing w:before="49"/>
              <w:ind w:right="-15"/>
              <w:jc w:val="right"/>
              <w:rPr>
                <w:sz w:val="20"/>
              </w:rPr>
            </w:pPr>
            <w:r>
              <w:rPr>
                <w:color w:val="231F20"/>
                <w:spacing w:val="-10"/>
                <w:w w:val="70"/>
                <w:sz w:val="20"/>
              </w:rPr>
              <w:t>0</w:t>
            </w:r>
          </w:p>
        </w:tc>
        <w:tc>
          <w:tcPr>
            <w:tcW w:w="227" w:type="dxa"/>
          </w:tcPr>
          <w:p>
            <w:pPr>
              <w:pStyle w:val="TableParagraph"/>
              <w:spacing w:before="0"/>
              <w:rPr>
                <w:sz w:val="16"/>
              </w:rPr>
            </w:pPr>
          </w:p>
        </w:tc>
        <w:tc>
          <w:tcPr>
            <w:tcW w:w="624" w:type="dxa"/>
          </w:tcPr>
          <w:p>
            <w:pPr>
              <w:pStyle w:val="TableParagraph"/>
              <w:spacing w:before="49"/>
              <w:ind w:right="-15"/>
              <w:jc w:val="right"/>
              <w:rPr>
                <w:sz w:val="20"/>
              </w:rPr>
            </w:pPr>
            <w:r>
              <w:rPr>
                <w:color w:val="231F20"/>
                <w:spacing w:val="-2"/>
                <w:w w:val="70"/>
                <w:sz w:val="20"/>
              </w:rPr>
              <w:t>2,000</w:t>
            </w:r>
          </w:p>
        </w:tc>
        <w:tc>
          <w:tcPr>
            <w:tcW w:w="227" w:type="dxa"/>
          </w:tcPr>
          <w:p>
            <w:pPr>
              <w:pStyle w:val="TableParagraph"/>
              <w:spacing w:before="0"/>
              <w:rPr>
                <w:sz w:val="16"/>
              </w:rPr>
            </w:pPr>
          </w:p>
        </w:tc>
        <w:tc>
          <w:tcPr>
            <w:tcW w:w="624" w:type="dxa"/>
          </w:tcPr>
          <w:p>
            <w:pPr>
              <w:pStyle w:val="TableParagraph"/>
              <w:spacing w:before="49"/>
              <w:ind w:right="-15"/>
              <w:jc w:val="right"/>
              <w:rPr>
                <w:sz w:val="20"/>
              </w:rPr>
            </w:pPr>
            <w:r>
              <w:rPr>
                <w:color w:val="231F20"/>
                <w:spacing w:val="-2"/>
                <w:w w:val="70"/>
                <w:sz w:val="20"/>
              </w:rPr>
              <w:t>0.75%</w:t>
            </w:r>
          </w:p>
        </w:tc>
        <w:tc>
          <w:tcPr>
            <w:tcW w:w="227" w:type="dxa"/>
          </w:tcPr>
          <w:p>
            <w:pPr>
              <w:pStyle w:val="TableParagraph"/>
              <w:spacing w:before="0"/>
              <w:rPr>
                <w:sz w:val="16"/>
              </w:rPr>
            </w:pPr>
          </w:p>
        </w:tc>
        <w:tc>
          <w:tcPr>
            <w:tcW w:w="678" w:type="dxa"/>
          </w:tcPr>
          <w:p>
            <w:pPr>
              <w:pStyle w:val="TableParagraph"/>
              <w:spacing w:before="49"/>
              <w:ind w:left="-2" w:right="50"/>
              <w:jc w:val="right"/>
              <w:rPr>
                <w:sz w:val="20"/>
              </w:rPr>
            </w:pPr>
            <w:r>
              <w:rPr>
                <w:color w:val="231F20"/>
                <w:spacing w:val="-5"/>
                <w:w w:val="70"/>
                <w:sz w:val="20"/>
              </w:rPr>
              <w:t>No</w:t>
            </w:r>
          </w:p>
        </w:tc>
      </w:tr>
      <w:tr>
        <w:trPr>
          <w:trHeight w:val="280" w:hRule="atLeast"/>
        </w:trPr>
        <w:tc>
          <w:tcPr>
            <w:tcW w:w="1398" w:type="dxa"/>
          </w:tcPr>
          <w:p>
            <w:pPr>
              <w:pStyle w:val="TableParagraph"/>
              <w:spacing w:before="0"/>
              <w:rPr>
                <w:sz w:val="16"/>
              </w:rPr>
            </w:pPr>
          </w:p>
        </w:tc>
        <w:tc>
          <w:tcPr>
            <w:tcW w:w="1261" w:type="dxa"/>
          </w:tcPr>
          <w:p>
            <w:pPr>
              <w:pStyle w:val="TableParagraph"/>
              <w:ind w:left="126"/>
              <w:rPr>
                <w:sz w:val="20"/>
              </w:rPr>
            </w:pPr>
            <w:r>
              <w:rPr>
                <w:color w:val="231F20"/>
                <w:w w:val="60"/>
                <w:sz w:val="20"/>
              </w:rPr>
              <w:t>Shaanxi</w:t>
            </w:r>
            <w:r>
              <w:rPr>
                <w:color w:val="231F20"/>
                <w:spacing w:val="4"/>
                <w:sz w:val="20"/>
              </w:rPr>
              <w:t> </w:t>
            </w:r>
            <w:r>
              <w:rPr>
                <w:color w:val="231F20"/>
                <w:spacing w:val="-2"/>
                <w:w w:val="70"/>
                <w:sz w:val="20"/>
              </w:rPr>
              <w:t>Jihong</w:t>
            </w:r>
          </w:p>
        </w:tc>
        <w:tc>
          <w:tcPr>
            <w:tcW w:w="1050" w:type="dxa"/>
          </w:tcPr>
          <w:p>
            <w:pPr>
              <w:pStyle w:val="TableParagraph"/>
              <w:ind w:right="152"/>
              <w:jc w:val="right"/>
              <w:rPr>
                <w:sz w:val="20"/>
              </w:rPr>
            </w:pPr>
            <w:r>
              <w:rPr>
                <w:color w:val="231F20"/>
                <w:spacing w:val="-4"/>
                <w:w w:val="70"/>
                <w:sz w:val="20"/>
              </w:rPr>
              <w:t>100%</w:t>
            </w:r>
          </w:p>
        </w:tc>
        <w:tc>
          <w:tcPr>
            <w:tcW w:w="1103" w:type="dxa"/>
          </w:tcPr>
          <w:p>
            <w:pPr>
              <w:pStyle w:val="TableParagraph"/>
              <w:ind w:right="221"/>
              <w:jc w:val="right"/>
              <w:rPr>
                <w:sz w:val="20"/>
              </w:rPr>
            </w:pPr>
            <w:r>
              <w:rPr>
                <w:color w:val="231F20"/>
                <w:spacing w:val="-2"/>
                <w:w w:val="70"/>
                <w:sz w:val="20"/>
              </w:rPr>
              <w:t>72.40%</w:t>
            </w:r>
          </w:p>
        </w:tc>
        <w:tc>
          <w:tcPr>
            <w:tcW w:w="624" w:type="dxa"/>
          </w:tcPr>
          <w:p>
            <w:pPr>
              <w:pStyle w:val="TableParagraph"/>
              <w:ind w:right="-15"/>
              <w:jc w:val="right"/>
              <w:rPr>
                <w:sz w:val="20"/>
              </w:rPr>
            </w:pPr>
            <w:r>
              <w:rPr>
                <w:color w:val="231F20"/>
                <w:spacing w:val="-10"/>
                <w:w w:val="70"/>
                <w:sz w:val="20"/>
              </w:rPr>
              <w:t>0</w:t>
            </w:r>
          </w:p>
        </w:tc>
        <w:tc>
          <w:tcPr>
            <w:tcW w:w="227" w:type="dxa"/>
          </w:tcPr>
          <w:p>
            <w:pPr>
              <w:pStyle w:val="TableParagraph"/>
              <w:spacing w:before="0"/>
              <w:rPr>
                <w:sz w:val="16"/>
              </w:rPr>
            </w:pPr>
          </w:p>
        </w:tc>
        <w:tc>
          <w:tcPr>
            <w:tcW w:w="624" w:type="dxa"/>
          </w:tcPr>
          <w:p>
            <w:pPr>
              <w:pStyle w:val="TableParagraph"/>
              <w:ind w:right="-15"/>
              <w:jc w:val="right"/>
              <w:rPr>
                <w:sz w:val="20"/>
              </w:rPr>
            </w:pPr>
            <w:r>
              <w:rPr>
                <w:color w:val="231F20"/>
                <w:spacing w:val="-2"/>
                <w:w w:val="70"/>
                <w:sz w:val="20"/>
              </w:rPr>
              <w:t>1,000</w:t>
            </w:r>
          </w:p>
        </w:tc>
        <w:tc>
          <w:tcPr>
            <w:tcW w:w="227" w:type="dxa"/>
          </w:tcPr>
          <w:p>
            <w:pPr>
              <w:pStyle w:val="TableParagraph"/>
              <w:spacing w:before="0"/>
              <w:rPr>
                <w:sz w:val="16"/>
              </w:rPr>
            </w:pPr>
          </w:p>
        </w:tc>
        <w:tc>
          <w:tcPr>
            <w:tcW w:w="624" w:type="dxa"/>
          </w:tcPr>
          <w:p>
            <w:pPr>
              <w:pStyle w:val="TableParagraph"/>
              <w:ind w:right="-15"/>
              <w:jc w:val="right"/>
              <w:rPr>
                <w:sz w:val="20"/>
              </w:rPr>
            </w:pPr>
            <w:r>
              <w:rPr>
                <w:color w:val="231F20"/>
                <w:spacing w:val="-2"/>
                <w:w w:val="70"/>
                <w:sz w:val="20"/>
              </w:rPr>
              <w:t>0.38%</w:t>
            </w:r>
          </w:p>
        </w:tc>
        <w:tc>
          <w:tcPr>
            <w:tcW w:w="227" w:type="dxa"/>
          </w:tcPr>
          <w:p>
            <w:pPr>
              <w:pStyle w:val="TableParagraph"/>
              <w:spacing w:before="0"/>
              <w:rPr>
                <w:sz w:val="16"/>
              </w:rPr>
            </w:pPr>
          </w:p>
        </w:tc>
        <w:tc>
          <w:tcPr>
            <w:tcW w:w="678" w:type="dxa"/>
          </w:tcPr>
          <w:p>
            <w:pPr>
              <w:pStyle w:val="TableParagraph"/>
              <w:ind w:left="-2" w:right="50"/>
              <w:jc w:val="right"/>
              <w:rPr>
                <w:sz w:val="20"/>
              </w:rPr>
            </w:pPr>
            <w:r>
              <w:rPr>
                <w:color w:val="231F20"/>
                <w:spacing w:val="-5"/>
                <w:w w:val="70"/>
                <w:sz w:val="20"/>
              </w:rPr>
              <w:t>No</w:t>
            </w:r>
          </w:p>
        </w:tc>
      </w:tr>
      <w:tr>
        <w:trPr>
          <w:trHeight w:val="435" w:hRule="atLeast"/>
        </w:trPr>
        <w:tc>
          <w:tcPr>
            <w:tcW w:w="1398" w:type="dxa"/>
          </w:tcPr>
          <w:p>
            <w:pPr>
              <w:pStyle w:val="TableParagraph"/>
              <w:spacing w:before="0"/>
              <w:rPr>
                <w:sz w:val="16"/>
              </w:rPr>
            </w:pPr>
          </w:p>
        </w:tc>
        <w:tc>
          <w:tcPr>
            <w:tcW w:w="1261" w:type="dxa"/>
          </w:tcPr>
          <w:p>
            <w:pPr>
              <w:pStyle w:val="TableParagraph"/>
              <w:ind w:left="126"/>
              <w:rPr>
                <w:sz w:val="20"/>
              </w:rPr>
            </w:pPr>
            <w:r>
              <w:rPr>
                <w:color w:val="231F20"/>
                <w:w w:val="60"/>
                <w:sz w:val="20"/>
              </w:rPr>
              <w:t>Xi’an</w:t>
            </w:r>
            <w:r>
              <w:rPr>
                <w:color w:val="231F20"/>
                <w:spacing w:val="-2"/>
                <w:sz w:val="20"/>
              </w:rPr>
              <w:t> </w:t>
            </w:r>
            <w:r>
              <w:rPr>
                <w:color w:val="231F20"/>
                <w:spacing w:val="-2"/>
                <w:w w:val="70"/>
                <w:sz w:val="20"/>
              </w:rPr>
              <w:t>Giikin</w:t>
            </w:r>
          </w:p>
        </w:tc>
        <w:tc>
          <w:tcPr>
            <w:tcW w:w="1050" w:type="dxa"/>
          </w:tcPr>
          <w:p>
            <w:pPr>
              <w:pStyle w:val="TableParagraph"/>
              <w:ind w:right="151"/>
              <w:jc w:val="right"/>
              <w:rPr>
                <w:sz w:val="20"/>
              </w:rPr>
            </w:pPr>
            <w:r>
              <w:rPr>
                <w:color w:val="231F20"/>
                <w:spacing w:val="-4"/>
                <w:w w:val="70"/>
                <w:sz w:val="20"/>
              </w:rPr>
              <w:t>100%</w:t>
            </w:r>
          </w:p>
        </w:tc>
        <w:tc>
          <w:tcPr>
            <w:tcW w:w="1103" w:type="dxa"/>
          </w:tcPr>
          <w:p>
            <w:pPr>
              <w:pStyle w:val="TableParagraph"/>
              <w:ind w:right="220"/>
              <w:jc w:val="right"/>
              <w:rPr>
                <w:sz w:val="20"/>
              </w:rPr>
            </w:pPr>
            <w:r>
              <w:rPr>
                <w:color w:val="231F20"/>
                <w:spacing w:val="-2"/>
                <w:w w:val="70"/>
                <w:sz w:val="20"/>
              </w:rPr>
              <w:t>3.87%</w:t>
            </w:r>
          </w:p>
        </w:tc>
        <w:tc>
          <w:tcPr>
            <w:tcW w:w="624" w:type="dxa"/>
          </w:tcPr>
          <w:p>
            <w:pPr>
              <w:pStyle w:val="TableParagraph"/>
              <w:tabs>
                <w:tab w:pos="564" w:val="left" w:leader="none"/>
              </w:tabs>
              <w:ind w:right="-15"/>
              <w:jc w:val="right"/>
              <w:rPr>
                <w:sz w:val="20"/>
              </w:rPr>
            </w:pPr>
            <w:r>
              <w:rPr>
                <w:color w:val="231F20"/>
                <w:sz w:val="20"/>
                <w:u w:val="single" w:color="231F20"/>
              </w:rPr>
              <w:tab/>
            </w:r>
            <w:r>
              <w:rPr>
                <w:color w:val="231F20"/>
                <w:spacing w:val="-10"/>
                <w:w w:val="70"/>
                <w:sz w:val="20"/>
                <w:u w:val="single" w:color="231F20"/>
              </w:rPr>
              <w:t>0</w:t>
            </w:r>
          </w:p>
        </w:tc>
        <w:tc>
          <w:tcPr>
            <w:tcW w:w="227" w:type="dxa"/>
          </w:tcPr>
          <w:p>
            <w:pPr>
              <w:pStyle w:val="TableParagraph"/>
              <w:spacing w:before="0"/>
              <w:rPr>
                <w:sz w:val="16"/>
              </w:rPr>
            </w:pPr>
          </w:p>
        </w:tc>
        <w:tc>
          <w:tcPr>
            <w:tcW w:w="624" w:type="dxa"/>
          </w:tcPr>
          <w:p>
            <w:pPr>
              <w:pStyle w:val="TableParagraph"/>
              <w:tabs>
                <w:tab w:pos="341" w:val="left" w:leader="none"/>
              </w:tabs>
              <w:ind w:left="-1" w:right="-15"/>
              <w:jc w:val="right"/>
              <w:rPr>
                <w:sz w:val="20"/>
              </w:rPr>
            </w:pPr>
            <w:r>
              <w:rPr>
                <w:color w:val="231F20"/>
                <w:sz w:val="20"/>
                <w:u w:val="single" w:color="231F20"/>
              </w:rPr>
              <w:tab/>
            </w:r>
            <w:r>
              <w:rPr>
                <w:color w:val="231F20"/>
                <w:spacing w:val="-2"/>
                <w:w w:val="60"/>
                <w:sz w:val="20"/>
                <w:u w:val="single" w:color="231F20"/>
              </w:rPr>
              <w:t>1,000</w:t>
            </w:r>
          </w:p>
        </w:tc>
        <w:tc>
          <w:tcPr>
            <w:tcW w:w="227" w:type="dxa"/>
          </w:tcPr>
          <w:p>
            <w:pPr>
              <w:pStyle w:val="TableParagraph"/>
              <w:spacing w:before="0"/>
              <w:rPr>
                <w:sz w:val="16"/>
              </w:rPr>
            </w:pPr>
          </w:p>
        </w:tc>
        <w:tc>
          <w:tcPr>
            <w:tcW w:w="624" w:type="dxa"/>
          </w:tcPr>
          <w:p>
            <w:pPr>
              <w:pStyle w:val="TableParagraph"/>
              <w:tabs>
                <w:tab w:pos="301" w:val="left" w:leader="none"/>
              </w:tabs>
              <w:ind w:left="-2" w:right="-15"/>
              <w:jc w:val="right"/>
              <w:rPr>
                <w:sz w:val="20"/>
              </w:rPr>
            </w:pPr>
            <w:r>
              <w:rPr>
                <w:color w:val="231F20"/>
                <w:sz w:val="20"/>
                <w:u w:val="single" w:color="231F20"/>
              </w:rPr>
              <w:tab/>
            </w:r>
            <w:r>
              <w:rPr>
                <w:color w:val="231F20"/>
                <w:spacing w:val="-2"/>
                <w:w w:val="60"/>
                <w:sz w:val="20"/>
                <w:u w:val="single" w:color="231F20"/>
              </w:rPr>
              <w:t>0.38%</w:t>
            </w:r>
          </w:p>
        </w:tc>
        <w:tc>
          <w:tcPr>
            <w:tcW w:w="227" w:type="dxa"/>
          </w:tcPr>
          <w:p>
            <w:pPr>
              <w:pStyle w:val="TableParagraph"/>
              <w:spacing w:before="0"/>
              <w:rPr>
                <w:sz w:val="16"/>
              </w:rPr>
            </w:pPr>
          </w:p>
        </w:tc>
        <w:tc>
          <w:tcPr>
            <w:tcW w:w="678" w:type="dxa"/>
          </w:tcPr>
          <w:p>
            <w:pPr>
              <w:pStyle w:val="TableParagraph"/>
              <w:tabs>
                <w:tab w:pos="473" w:val="left" w:leader="none"/>
              </w:tabs>
              <w:ind w:left="-2" w:right="50"/>
              <w:jc w:val="right"/>
              <w:rPr>
                <w:sz w:val="20"/>
              </w:rPr>
            </w:pPr>
            <w:r>
              <w:rPr>
                <w:color w:val="231F20"/>
                <w:sz w:val="20"/>
                <w:u w:val="single" w:color="231F20"/>
              </w:rPr>
              <w:tab/>
            </w:r>
            <w:r>
              <w:rPr>
                <w:color w:val="231F20"/>
                <w:spacing w:val="-8"/>
                <w:w w:val="65"/>
                <w:sz w:val="20"/>
                <w:u w:val="single" w:color="231F20"/>
              </w:rPr>
              <w:t>No</w:t>
            </w:r>
          </w:p>
        </w:tc>
      </w:tr>
      <w:tr>
        <w:trPr>
          <w:trHeight w:val="446" w:hRule="atLeast"/>
        </w:trPr>
        <w:tc>
          <w:tcPr>
            <w:tcW w:w="1398" w:type="dxa"/>
          </w:tcPr>
          <w:p>
            <w:pPr>
              <w:pStyle w:val="TableParagraph"/>
              <w:spacing w:before="0"/>
              <w:rPr>
                <w:sz w:val="16"/>
              </w:rPr>
            </w:pPr>
          </w:p>
        </w:tc>
        <w:tc>
          <w:tcPr>
            <w:tcW w:w="1261" w:type="dxa"/>
          </w:tcPr>
          <w:p>
            <w:pPr>
              <w:pStyle w:val="TableParagraph"/>
              <w:spacing w:line="220" w:lineRule="exact" w:before="206"/>
              <w:ind w:right="146"/>
              <w:jc w:val="right"/>
              <w:rPr>
                <w:sz w:val="20"/>
              </w:rPr>
            </w:pPr>
            <w:r>
              <w:rPr>
                <w:color w:val="231F20"/>
                <w:spacing w:val="-4"/>
                <w:w w:val="70"/>
                <w:sz w:val="20"/>
              </w:rPr>
              <w:t>Total</w:t>
            </w:r>
          </w:p>
        </w:tc>
        <w:tc>
          <w:tcPr>
            <w:tcW w:w="1050" w:type="dxa"/>
          </w:tcPr>
          <w:p>
            <w:pPr>
              <w:pStyle w:val="TableParagraph"/>
              <w:spacing w:before="0"/>
              <w:rPr>
                <w:sz w:val="16"/>
              </w:rPr>
            </w:pPr>
          </w:p>
        </w:tc>
        <w:tc>
          <w:tcPr>
            <w:tcW w:w="1103" w:type="dxa"/>
          </w:tcPr>
          <w:p>
            <w:pPr>
              <w:pStyle w:val="TableParagraph"/>
              <w:spacing w:before="0"/>
              <w:rPr>
                <w:sz w:val="16"/>
              </w:rPr>
            </w:pPr>
          </w:p>
        </w:tc>
        <w:tc>
          <w:tcPr>
            <w:tcW w:w="624" w:type="dxa"/>
            <w:tcBorders>
              <w:bottom w:val="thinThickMediumGap" w:sz="6" w:space="0" w:color="231F20"/>
            </w:tcBorders>
          </w:tcPr>
          <w:p>
            <w:pPr>
              <w:pStyle w:val="TableParagraph"/>
              <w:spacing w:line="220" w:lineRule="exact" w:before="206"/>
              <w:jc w:val="right"/>
              <w:rPr>
                <w:sz w:val="20"/>
              </w:rPr>
            </w:pPr>
            <w:r>
              <w:rPr>
                <w:color w:val="231F20"/>
                <w:spacing w:val="-10"/>
                <w:w w:val="70"/>
                <w:sz w:val="20"/>
              </w:rPr>
              <w:t>0</w:t>
            </w:r>
          </w:p>
        </w:tc>
        <w:tc>
          <w:tcPr>
            <w:tcW w:w="227" w:type="dxa"/>
          </w:tcPr>
          <w:p>
            <w:pPr>
              <w:pStyle w:val="TableParagraph"/>
              <w:spacing w:before="0"/>
              <w:rPr>
                <w:sz w:val="16"/>
              </w:rPr>
            </w:pPr>
          </w:p>
        </w:tc>
        <w:tc>
          <w:tcPr>
            <w:tcW w:w="624" w:type="dxa"/>
            <w:tcBorders>
              <w:bottom w:val="thinThickMediumGap" w:sz="6" w:space="0" w:color="231F20"/>
            </w:tcBorders>
          </w:tcPr>
          <w:p>
            <w:pPr>
              <w:pStyle w:val="TableParagraph"/>
              <w:spacing w:line="220" w:lineRule="exact" w:before="206"/>
              <w:ind w:right="-15"/>
              <w:jc w:val="right"/>
              <w:rPr>
                <w:sz w:val="20"/>
              </w:rPr>
            </w:pPr>
            <w:r>
              <w:rPr>
                <w:color w:val="231F20"/>
                <w:spacing w:val="-2"/>
                <w:w w:val="70"/>
                <w:sz w:val="20"/>
              </w:rPr>
              <w:t>25,000</w:t>
            </w:r>
          </w:p>
        </w:tc>
        <w:tc>
          <w:tcPr>
            <w:tcW w:w="227" w:type="dxa"/>
          </w:tcPr>
          <w:p>
            <w:pPr>
              <w:pStyle w:val="TableParagraph"/>
              <w:spacing w:before="0"/>
              <w:rPr>
                <w:sz w:val="16"/>
              </w:rPr>
            </w:pPr>
          </w:p>
        </w:tc>
        <w:tc>
          <w:tcPr>
            <w:tcW w:w="624" w:type="dxa"/>
            <w:tcBorders>
              <w:bottom w:val="thinThickMediumGap" w:sz="6" w:space="0" w:color="231F20"/>
            </w:tcBorders>
          </w:tcPr>
          <w:p>
            <w:pPr>
              <w:pStyle w:val="TableParagraph"/>
              <w:spacing w:line="220" w:lineRule="exact" w:before="206"/>
              <w:ind w:right="-15"/>
              <w:jc w:val="right"/>
              <w:rPr>
                <w:sz w:val="20"/>
              </w:rPr>
            </w:pPr>
            <w:r>
              <w:rPr>
                <w:color w:val="231F20"/>
                <w:spacing w:val="-2"/>
                <w:w w:val="70"/>
                <w:sz w:val="20"/>
              </w:rPr>
              <w:t>9.38%</w:t>
            </w:r>
          </w:p>
        </w:tc>
        <w:tc>
          <w:tcPr>
            <w:tcW w:w="227" w:type="dxa"/>
          </w:tcPr>
          <w:p>
            <w:pPr>
              <w:pStyle w:val="TableParagraph"/>
              <w:spacing w:before="0"/>
              <w:rPr>
                <w:sz w:val="16"/>
              </w:rPr>
            </w:pPr>
          </w:p>
        </w:tc>
        <w:tc>
          <w:tcPr>
            <w:tcW w:w="678" w:type="dxa"/>
            <w:tcBorders>
              <w:bottom w:val="thinThickMediumGap" w:sz="6" w:space="0" w:color="231F20"/>
            </w:tcBorders>
          </w:tcPr>
          <w:p>
            <w:pPr>
              <w:pStyle w:val="TableParagraph"/>
              <w:spacing w:before="176"/>
              <w:ind w:left="-2" w:right="53"/>
              <w:jc w:val="right"/>
              <w:rPr>
                <w:sz w:val="20"/>
              </w:rPr>
            </w:pPr>
            <w:r>
              <w:rPr>
                <w:color w:val="231F20"/>
                <w:spacing w:val="-10"/>
                <w:w w:val="70"/>
                <w:sz w:val="20"/>
              </w:rPr>
              <w:t>–</w:t>
            </w:r>
          </w:p>
        </w:tc>
      </w:tr>
      <w:tr>
        <w:trPr>
          <w:trHeight w:val="395" w:hRule="atLeast"/>
        </w:trPr>
        <w:tc>
          <w:tcPr>
            <w:tcW w:w="1398" w:type="dxa"/>
          </w:tcPr>
          <w:p>
            <w:pPr>
              <w:pStyle w:val="TableParagraph"/>
              <w:spacing w:before="26"/>
              <w:rPr>
                <w:sz w:val="16"/>
              </w:rPr>
            </w:pPr>
          </w:p>
          <w:p>
            <w:pPr>
              <w:pStyle w:val="TableParagraph"/>
              <w:spacing w:line="165" w:lineRule="exact" w:before="0"/>
              <w:ind w:left="50"/>
              <w:rPr>
                <w:i/>
                <w:sz w:val="16"/>
              </w:rPr>
            </w:pPr>
            <w:r>
              <w:rPr>
                <w:i/>
                <w:color w:val="231F20"/>
                <w:spacing w:val="-2"/>
                <w:sz w:val="16"/>
              </w:rPr>
              <w:t>Note:</w:t>
            </w:r>
          </w:p>
        </w:tc>
        <w:tc>
          <w:tcPr>
            <w:tcW w:w="1261" w:type="dxa"/>
          </w:tcPr>
          <w:p>
            <w:pPr>
              <w:pStyle w:val="TableParagraph"/>
              <w:spacing w:before="0"/>
              <w:rPr>
                <w:sz w:val="16"/>
              </w:rPr>
            </w:pPr>
          </w:p>
        </w:tc>
        <w:tc>
          <w:tcPr>
            <w:tcW w:w="1050" w:type="dxa"/>
          </w:tcPr>
          <w:p>
            <w:pPr>
              <w:pStyle w:val="TableParagraph"/>
              <w:spacing w:before="0"/>
              <w:rPr>
                <w:sz w:val="16"/>
              </w:rPr>
            </w:pPr>
          </w:p>
        </w:tc>
        <w:tc>
          <w:tcPr>
            <w:tcW w:w="1103" w:type="dxa"/>
          </w:tcPr>
          <w:p>
            <w:pPr>
              <w:pStyle w:val="TableParagraph"/>
              <w:spacing w:before="0"/>
              <w:rPr>
                <w:sz w:val="16"/>
              </w:rPr>
            </w:pPr>
          </w:p>
        </w:tc>
        <w:tc>
          <w:tcPr>
            <w:tcW w:w="624" w:type="dxa"/>
            <w:tcBorders>
              <w:top w:val="thickThinMediumGap" w:sz="6" w:space="0" w:color="231F20"/>
            </w:tcBorders>
          </w:tcPr>
          <w:p>
            <w:pPr>
              <w:pStyle w:val="TableParagraph"/>
              <w:spacing w:before="0"/>
              <w:rPr>
                <w:sz w:val="16"/>
              </w:rPr>
            </w:pPr>
          </w:p>
        </w:tc>
        <w:tc>
          <w:tcPr>
            <w:tcW w:w="227" w:type="dxa"/>
          </w:tcPr>
          <w:p>
            <w:pPr>
              <w:pStyle w:val="TableParagraph"/>
              <w:spacing w:before="0"/>
              <w:rPr>
                <w:sz w:val="16"/>
              </w:rPr>
            </w:pPr>
          </w:p>
        </w:tc>
        <w:tc>
          <w:tcPr>
            <w:tcW w:w="624" w:type="dxa"/>
            <w:tcBorders>
              <w:top w:val="thickThinMediumGap" w:sz="6" w:space="0" w:color="231F20"/>
            </w:tcBorders>
          </w:tcPr>
          <w:p>
            <w:pPr>
              <w:pStyle w:val="TableParagraph"/>
              <w:spacing w:before="0"/>
              <w:rPr>
                <w:sz w:val="16"/>
              </w:rPr>
            </w:pPr>
          </w:p>
        </w:tc>
        <w:tc>
          <w:tcPr>
            <w:tcW w:w="227" w:type="dxa"/>
          </w:tcPr>
          <w:p>
            <w:pPr>
              <w:pStyle w:val="TableParagraph"/>
              <w:spacing w:before="0"/>
              <w:rPr>
                <w:sz w:val="16"/>
              </w:rPr>
            </w:pPr>
          </w:p>
        </w:tc>
        <w:tc>
          <w:tcPr>
            <w:tcW w:w="624" w:type="dxa"/>
            <w:tcBorders>
              <w:top w:val="thickThinMediumGap" w:sz="6" w:space="0" w:color="231F20"/>
            </w:tcBorders>
          </w:tcPr>
          <w:p>
            <w:pPr>
              <w:pStyle w:val="TableParagraph"/>
              <w:spacing w:before="0"/>
              <w:rPr>
                <w:sz w:val="16"/>
              </w:rPr>
            </w:pPr>
          </w:p>
        </w:tc>
        <w:tc>
          <w:tcPr>
            <w:tcW w:w="227" w:type="dxa"/>
          </w:tcPr>
          <w:p>
            <w:pPr>
              <w:pStyle w:val="TableParagraph"/>
              <w:spacing w:before="0"/>
              <w:rPr>
                <w:sz w:val="16"/>
              </w:rPr>
            </w:pPr>
          </w:p>
        </w:tc>
        <w:tc>
          <w:tcPr>
            <w:tcW w:w="678" w:type="dxa"/>
            <w:tcBorders>
              <w:top w:val="thickThinMediumGap" w:sz="6" w:space="0" w:color="231F20"/>
            </w:tcBorders>
          </w:tcPr>
          <w:p>
            <w:pPr>
              <w:pStyle w:val="TableParagraph"/>
              <w:spacing w:before="0"/>
              <w:rPr>
                <w:sz w:val="16"/>
              </w:rPr>
            </w:pPr>
          </w:p>
        </w:tc>
      </w:tr>
    </w:tbl>
    <w:p>
      <w:pPr>
        <w:pStyle w:val="BodyText"/>
        <w:spacing w:before="79"/>
        <w:rPr>
          <w:sz w:val="16"/>
        </w:rPr>
      </w:pPr>
    </w:p>
    <w:p>
      <w:pPr>
        <w:spacing w:before="0"/>
        <w:ind w:left="1276" w:right="0" w:firstLine="0"/>
        <w:jc w:val="left"/>
        <w:rPr>
          <w:sz w:val="16"/>
        </w:rPr>
      </w:pPr>
      <w:r>
        <w:rPr>
          <w:color w:val="231F20"/>
          <w:sz w:val="16"/>
        </w:rPr>
        <w:t>The</w:t>
      </w:r>
      <w:r>
        <w:rPr>
          <w:color w:val="231F20"/>
          <w:spacing w:val="22"/>
          <w:sz w:val="16"/>
        </w:rPr>
        <w:t> </w:t>
      </w:r>
      <w:r>
        <w:rPr>
          <w:color w:val="231F20"/>
          <w:sz w:val="16"/>
        </w:rPr>
        <w:t>remaining</w:t>
      </w:r>
      <w:r>
        <w:rPr>
          <w:color w:val="231F20"/>
          <w:spacing w:val="22"/>
          <w:sz w:val="16"/>
        </w:rPr>
        <w:t> </w:t>
      </w:r>
      <w:r>
        <w:rPr>
          <w:color w:val="231F20"/>
          <w:sz w:val="16"/>
        </w:rPr>
        <w:t>40%</w:t>
      </w:r>
      <w:r>
        <w:rPr>
          <w:color w:val="231F20"/>
          <w:spacing w:val="22"/>
          <w:sz w:val="16"/>
        </w:rPr>
        <w:t> </w:t>
      </w:r>
      <w:r>
        <w:rPr>
          <w:color w:val="231F20"/>
          <w:sz w:val="16"/>
        </w:rPr>
        <w:t>is</w:t>
      </w:r>
      <w:r>
        <w:rPr>
          <w:color w:val="231F20"/>
          <w:spacing w:val="22"/>
          <w:sz w:val="16"/>
        </w:rPr>
        <w:t> </w:t>
      </w:r>
      <w:r>
        <w:rPr>
          <w:color w:val="231F20"/>
          <w:sz w:val="16"/>
        </w:rPr>
        <w:t>held</w:t>
      </w:r>
      <w:r>
        <w:rPr>
          <w:color w:val="231F20"/>
          <w:spacing w:val="23"/>
          <w:sz w:val="16"/>
        </w:rPr>
        <w:t> </w:t>
      </w:r>
      <w:r>
        <w:rPr>
          <w:color w:val="231F20"/>
          <w:sz w:val="16"/>
        </w:rPr>
        <w:t>by</w:t>
      </w:r>
      <w:r>
        <w:rPr>
          <w:color w:val="231F20"/>
          <w:spacing w:val="22"/>
          <w:sz w:val="16"/>
        </w:rPr>
        <w:t> </w:t>
      </w:r>
      <w:r>
        <w:rPr>
          <w:color w:val="231F20"/>
          <w:sz w:val="16"/>
        </w:rPr>
        <w:t>an</w:t>
      </w:r>
      <w:r>
        <w:rPr>
          <w:color w:val="231F20"/>
          <w:spacing w:val="22"/>
          <w:sz w:val="16"/>
        </w:rPr>
        <w:t> </w:t>
      </w:r>
      <w:r>
        <w:rPr>
          <w:color w:val="231F20"/>
          <w:sz w:val="16"/>
        </w:rPr>
        <w:t>independent</w:t>
      </w:r>
      <w:r>
        <w:rPr>
          <w:color w:val="231F20"/>
          <w:spacing w:val="22"/>
          <w:sz w:val="16"/>
        </w:rPr>
        <w:t> </w:t>
      </w:r>
      <w:r>
        <w:rPr>
          <w:color w:val="231F20"/>
          <w:sz w:val="16"/>
        </w:rPr>
        <w:t>third</w:t>
      </w:r>
      <w:r>
        <w:rPr>
          <w:color w:val="231F20"/>
          <w:spacing w:val="23"/>
          <w:sz w:val="16"/>
        </w:rPr>
        <w:t> </w:t>
      </w:r>
      <w:r>
        <w:rPr>
          <w:color w:val="231F20"/>
          <w:spacing w:val="-2"/>
          <w:sz w:val="16"/>
        </w:rPr>
        <w:t>party.</w:t>
      </w:r>
    </w:p>
    <w:p>
      <w:pPr>
        <w:spacing w:after="0"/>
        <w:jc w:val="left"/>
        <w:rPr>
          <w:sz w:val="16"/>
        </w:rPr>
        <w:sectPr>
          <w:type w:val="continuous"/>
          <w:pgSz w:w="11910" w:h="15880"/>
          <w:pgMar w:header="567" w:footer="573" w:top="1300" w:bottom="280" w:left="1275" w:right="1275"/>
        </w:sectPr>
      </w:pPr>
    </w:p>
    <w:p>
      <w:pPr>
        <w:pStyle w:val="BodyText"/>
        <w:spacing w:before="144"/>
      </w:pPr>
    </w:p>
    <w:p>
      <w:pPr>
        <w:pStyle w:val="ListParagraph"/>
        <w:numPr>
          <w:ilvl w:val="0"/>
          <w:numId w:val="7"/>
        </w:numPr>
        <w:tabs>
          <w:tab w:pos="1276" w:val="left" w:leader="none"/>
        </w:tabs>
        <w:spacing w:line="240" w:lineRule="auto" w:before="1" w:after="0"/>
        <w:ind w:left="1276" w:right="0" w:hanging="567"/>
        <w:jc w:val="left"/>
        <w:rPr>
          <w:b/>
          <w:sz w:val="20"/>
        </w:rPr>
      </w:pPr>
      <w:r>
        <w:rPr>
          <w:b/>
          <w:color w:val="231F20"/>
          <w:sz w:val="20"/>
        </w:rPr>
        <w:t>Basic</w:t>
      </w:r>
      <w:r>
        <w:rPr>
          <w:b/>
          <w:color w:val="231F20"/>
          <w:spacing w:val="35"/>
          <w:sz w:val="20"/>
        </w:rPr>
        <w:t> </w:t>
      </w:r>
      <w:r>
        <w:rPr>
          <w:b/>
          <w:color w:val="231F20"/>
          <w:sz w:val="20"/>
        </w:rPr>
        <w:t>Information</w:t>
      </w:r>
      <w:r>
        <w:rPr>
          <w:b/>
          <w:color w:val="231F20"/>
          <w:spacing w:val="36"/>
          <w:sz w:val="20"/>
        </w:rPr>
        <w:t> </w:t>
      </w:r>
      <w:r>
        <w:rPr>
          <w:b/>
          <w:color w:val="231F20"/>
          <w:sz w:val="20"/>
        </w:rPr>
        <w:t>on</w:t>
      </w:r>
      <w:r>
        <w:rPr>
          <w:b/>
          <w:color w:val="231F20"/>
          <w:spacing w:val="35"/>
          <w:sz w:val="20"/>
        </w:rPr>
        <w:t> </w:t>
      </w:r>
      <w:r>
        <w:rPr>
          <w:b/>
          <w:color w:val="231F20"/>
          <w:sz w:val="20"/>
        </w:rPr>
        <w:t>the</w:t>
      </w:r>
      <w:r>
        <w:rPr>
          <w:b/>
          <w:color w:val="231F20"/>
          <w:spacing w:val="36"/>
          <w:sz w:val="20"/>
        </w:rPr>
        <w:t> </w:t>
      </w:r>
      <w:r>
        <w:rPr>
          <w:b/>
          <w:color w:val="231F20"/>
          <w:sz w:val="20"/>
        </w:rPr>
        <w:t>Guaranteed</w:t>
      </w:r>
      <w:r>
        <w:rPr>
          <w:b/>
          <w:color w:val="231F20"/>
          <w:spacing w:val="35"/>
          <w:sz w:val="20"/>
        </w:rPr>
        <w:t> </w:t>
      </w:r>
      <w:r>
        <w:rPr>
          <w:b/>
          <w:color w:val="231F20"/>
          <w:spacing w:val="-2"/>
          <w:sz w:val="20"/>
        </w:rPr>
        <w:t>Parties</w:t>
      </w:r>
    </w:p>
    <w:p>
      <w:pPr>
        <w:pStyle w:val="BodyText"/>
        <w:spacing w:before="48"/>
        <w:rPr>
          <w:b/>
        </w:rPr>
      </w:pPr>
    </w:p>
    <w:p>
      <w:pPr>
        <w:pStyle w:val="Heading5"/>
        <w:numPr>
          <w:ilvl w:val="0"/>
          <w:numId w:val="8"/>
        </w:numPr>
        <w:tabs>
          <w:tab w:pos="1843" w:val="left" w:leader="none"/>
        </w:tabs>
        <w:spacing w:line="240" w:lineRule="auto" w:before="0" w:after="0"/>
        <w:ind w:left="1843" w:right="0" w:hanging="567"/>
        <w:jc w:val="left"/>
        <w:rPr>
          <w:i/>
        </w:rPr>
      </w:pPr>
      <w:r>
        <w:rPr>
          <w:i/>
          <w:color w:val="231F20"/>
        </w:rPr>
        <w:t>Langfang</w:t>
      </w:r>
      <w:r>
        <w:rPr>
          <w:i/>
          <w:color w:val="231F20"/>
          <w:spacing w:val="73"/>
        </w:rPr>
        <w:t> </w:t>
      </w:r>
      <w:r>
        <w:rPr>
          <w:i/>
          <w:color w:val="231F20"/>
        </w:rPr>
        <w:t>Jihong</w:t>
      </w:r>
      <w:r>
        <w:rPr>
          <w:i/>
          <w:color w:val="231F20"/>
          <w:spacing w:val="74"/>
        </w:rPr>
        <w:t> </w:t>
      </w:r>
      <w:r>
        <w:rPr>
          <w:i/>
          <w:color w:val="231F20"/>
        </w:rPr>
        <w:t>Packaging</w:t>
      </w:r>
      <w:r>
        <w:rPr>
          <w:i/>
          <w:color w:val="231F20"/>
          <w:spacing w:val="74"/>
        </w:rPr>
        <w:t> </w:t>
      </w:r>
      <w:r>
        <w:rPr>
          <w:i/>
          <w:color w:val="231F20"/>
        </w:rPr>
        <w:t>Limited*</w:t>
      </w:r>
      <w:r>
        <w:rPr>
          <w:i/>
          <w:color w:val="231F20"/>
          <w:spacing w:val="37"/>
        </w:rPr>
        <w:t> (</w:t>
      </w:r>
      <w:r>
        <w:rPr>
          <w:rFonts w:ascii="Microsoft YaHei" w:eastAsia="Microsoft YaHei"/>
          <w:color w:val="231F20"/>
        </w:rPr>
        <w:t>廊坊市吉宏包裝有限公司</w:t>
      </w:r>
      <w:r>
        <w:rPr>
          <w:i/>
          <w:color w:val="231F20"/>
          <w:spacing w:val="-10"/>
        </w:rPr>
        <w:t>)</w:t>
      </w:r>
    </w:p>
    <w:p>
      <w:pPr>
        <w:pStyle w:val="BodyText"/>
        <w:spacing w:before="38"/>
        <w:rPr>
          <w:b/>
          <w:i/>
        </w:rPr>
      </w:pPr>
    </w:p>
    <w:p>
      <w:pPr>
        <w:pStyle w:val="ListParagraph"/>
        <w:numPr>
          <w:ilvl w:val="1"/>
          <w:numId w:val="8"/>
        </w:numPr>
        <w:tabs>
          <w:tab w:pos="2410" w:val="left" w:leader="none"/>
        </w:tabs>
        <w:spacing w:line="252" w:lineRule="auto" w:before="1" w:after="0"/>
        <w:ind w:left="2410" w:right="135" w:hanging="567"/>
        <w:jc w:val="both"/>
        <w:rPr>
          <w:sz w:val="20"/>
        </w:rPr>
      </w:pPr>
      <w:r>
        <w:rPr>
          <w:color w:val="231F20"/>
          <w:sz w:val="20"/>
        </w:rPr>
        <w:t>Company</w:t>
      </w:r>
      <w:r>
        <w:rPr>
          <w:color w:val="231F20"/>
          <w:spacing w:val="40"/>
          <w:sz w:val="20"/>
        </w:rPr>
        <w:t> </w:t>
      </w:r>
      <w:r>
        <w:rPr>
          <w:color w:val="231F20"/>
          <w:sz w:val="20"/>
        </w:rPr>
        <w:t>name</w:t>
      </w:r>
      <w:r>
        <w:rPr>
          <w:color w:val="231F20"/>
          <w:spacing w:val="20"/>
          <w:sz w:val="20"/>
        </w:rPr>
        <w:t>: </w:t>
      </w:r>
      <w:r>
        <w:rPr>
          <w:color w:val="231F20"/>
          <w:sz w:val="20"/>
        </w:rPr>
        <w:t>Langfang</w:t>
      </w:r>
      <w:r>
        <w:rPr>
          <w:color w:val="231F20"/>
          <w:spacing w:val="40"/>
          <w:sz w:val="20"/>
        </w:rPr>
        <w:t> </w:t>
      </w:r>
      <w:r>
        <w:rPr>
          <w:color w:val="231F20"/>
          <w:sz w:val="20"/>
        </w:rPr>
        <w:t>Jihong</w:t>
      </w:r>
      <w:r>
        <w:rPr>
          <w:color w:val="231F20"/>
          <w:spacing w:val="40"/>
          <w:sz w:val="20"/>
        </w:rPr>
        <w:t> </w:t>
      </w:r>
      <w:r>
        <w:rPr>
          <w:color w:val="231F20"/>
          <w:sz w:val="20"/>
        </w:rPr>
        <w:t>Packaging</w:t>
      </w:r>
      <w:r>
        <w:rPr>
          <w:color w:val="231F20"/>
          <w:spacing w:val="40"/>
          <w:sz w:val="20"/>
        </w:rPr>
        <w:t> </w:t>
      </w:r>
      <w:r>
        <w:rPr>
          <w:color w:val="231F20"/>
          <w:sz w:val="20"/>
        </w:rPr>
        <w:t>Limited*</w:t>
      </w:r>
      <w:r>
        <w:rPr>
          <w:color w:val="231F20"/>
          <w:spacing w:val="20"/>
          <w:sz w:val="20"/>
        </w:rPr>
        <w:t> (</w:t>
      </w:r>
      <w:r>
        <w:rPr>
          <w:rFonts w:ascii="新細明體" w:eastAsia="新細明體"/>
          <w:color w:val="231F20"/>
          <w:sz w:val="20"/>
        </w:rPr>
        <w:t>廊坊市吉宏包裝有限公</w:t>
      </w:r>
      <w:r>
        <w:rPr>
          <w:rFonts w:ascii="新細明體" w:eastAsia="新細明體"/>
          <w:color w:val="231F20"/>
          <w:spacing w:val="-6"/>
          <w:sz w:val="20"/>
        </w:rPr>
        <w:t>司</w:t>
      </w:r>
      <w:r>
        <w:rPr>
          <w:color w:val="231F20"/>
          <w:spacing w:val="-6"/>
          <w:sz w:val="20"/>
        </w:rPr>
        <w:t>)</w:t>
      </w:r>
    </w:p>
    <w:p>
      <w:pPr>
        <w:pStyle w:val="BodyText"/>
        <w:spacing w:before="51"/>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Date</w:t>
      </w:r>
      <w:r>
        <w:rPr>
          <w:color w:val="231F20"/>
          <w:spacing w:val="34"/>
          <w:sz w:val="20"/>
        </w:rPr>
        <w:t> </w:t>
      </w:r>
      <w:r>
        <w:rPr>
          <w:color w:val="231F20"/>
          <w:sz w:val="20"/>
        </w:rPr>
        <w:t>of</w:t>
      </w:r>
      <w:r>
        <w:rPr>
          <w:color w:val="231F20"/>
          <w:spacing w:val="34"/>
          <w:sz w:val="20"/>
        </w:rPr>
        <w:t> </w:t>
      </w:r>
      <w:r>
        <w:rPr>
          <w:color w:val="231F20"/>
          <w:sz w:val="20"/>
        </w:rPr>
        <w:t>establishment:</w:t>
      </w:r>
      <w:r>
        <w:rPr>
          <w:color w:val="231F20"/>
          <w:spacing w:val="34"/>
          <w:sz w:val="20"/>
        </w:rPr>
        <w:t> </w:t>
      </w:r>
      <w:r>
        <w:rPr>
          <w:color w:val="231F20"/>
          <w:sz w:val="20"/>
        </w:rPr>
        <w:t>January</w:t>
      </w:r>
      <w:r>
        <w:rPr>
          <w:color w:val="231F20"/>
          <w:spacing w:val="34"/>
          <w:sz w:val="20"/>
        </w:rPr>
        <w:t> </w:t>
      </w:r>
      <w:r>
        <w:rPr>
          <w:color w:val="231F20"/>
          <w:sz w:val="20"/>
        </w:rPr>
        <w:t>8,</w:t>
      </w:r>
      <w:r>
        <w:rPr>
          <w:color w:val="231F20"/>
          <w:spacing w:val="34"/>
          <w:sz w:val="20"/>
        </w:rPr>
        <w:t> </w:t>
      </w:r>
      <w:r>
        <w:rPr>
          <w:color w:val="231F20"/>
          <w:spacing w:val="-4"/>
          <w:sz w:val="20"/>
        </w:rPr>
        <w:t>2013</w:t>
      </w:r>
    </w:p>
    <w:p>
      <w:pPr>
        <w:pStyle w:val="BodyText"/>
        <w:spacing w:before="100"/>
      </w:pPr>
    </w:p>
    <w:p>
      <w:pPr>
        <w:pStyle w:val="ListParagraph"/>
        <w:numPr>
          <w:ilvl w:val="1"/>
          <w:numId w:val="8"/>
        </w:numPr>
        <w:tabs>
          <w:tab w:pos="2410" w:val="left" w:leader="none"/>
        </w:tabs>
        <w:spacing w:line="292" w:lineRule="auto" w:before="0" w:after="0"/>
        <w:ind w:left="2410" w:right="135" w:hanging="567"/>
        <w:jc w:val="both"/>
        <w:rPr>
          <w:sz w:val="20"/>
        </w:rPr>
      </w:pPr>
      <w:r>
        <w:rPr>
          <w:color w:val="231F20"/>
          <w:sz w:val="20"/>
        </w:rPr>
        <w:t>Place of registration: No. 68 Hongye Road, Guangyang Economic Development Zone, Langfang City</w:t>
      </w:r>
    </w:p>
    <w:p>
      <w:pPr>
        <w:pStyle w:val="BodyText"/>
        <w:spacing w:before="48"/>
      </w:pPr>
    </w:p>
    <w:p>
      <w:pPr>
        <w:pStyle w:val="ListParagraph"/>
        <w:numPr>
          <w:ilvl w:val="1"/>
          <w:numId w:val="8"/>
        </w:numPr>
        <w:tabs>
          <w:tab w:pos="2409" w:val="left" w:leader="none"/>
        </w:tabs>
        <w:spacing w:line="240" w:lineRule="auto" w:before="1" w:after="0"/>
        <w:ind w:left="2409" w:right="0" w:hanging="566"/>
        <w:jc w:val="left"/>
        <w:rPr>
          <w:sz w:val="20"/>
        </w:rPr>
      </w:pPr>
      <w:r>
        <w:rPr>
          <w:color w:val="231F20"/>
          <w:sz w:val="20"/>
        </w:rPr>
        <w:t>Registered</w:t>
      </w:r>
      <w:r>
        <w:rPr>
          <w:color w:val="231F20"/>
          <w:spacing w:val="45"/>
          <w:sz w:val="20"/>
        </w:rPr>
        <w:t> </w:t>
      </w:r>
      <w:r>
        <w:rPr>
          <w:color w:val="231F20"/>
          <w:sz w:val="20"/>
        </w:rPr>
        <w:t>capital:</w:t>
      </w:r>
      <w:r>
        <w:rPr>
          <w:color w:val="231F20"/>
          <w:spacing w:val="45"/>
          <w:sz w:val="20"/>
        </w:rPr>
        <w:t> </w:t>
      </w:r>
      <w:r>
        <w:rPr>
          <w:color w:val="231F20"/>
          <w:sz w:val="20"/>
        </w:rPr>
        <w:t>RMB120</w:t>
      </w:r>
      <w:r>
        <w:rPr>
          <w:color w:val="231F20"/>
          <w:spacing w:val="45"/>
          <w:sz w:val="20"/>
        </w:rPr>
        <w:t> </w:t>
      </w:r>
      <w:r>
        <w:rPr>
          <w:color w:val="231F20"/>
          <w:spacing w:val="-2"/>
          <w:sz w:val="20"/>
        </w:rPr>
        <w:t>million</w:t>
      </w:r>
    </w:p>
    <w:p>
      <w:pPr>
        <w:pStyle w:val="BodyText"/>
        <w:spacing w:before="100"/>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Legal</w:t>
      </w:r>
      <w:r>
        <w:rPr>
          <w:color w:val="231F20"/>
          <w:spacing w:val="46"/>
          <w:sz w:val="20"/>
        </w:rPr>
        <w:t> </w:t>
      </w:r>
      <w:r>
        <w:rPr>
          <w:color w:val="231F20"/>
          <w:sz w:val="20"/>
        </w:rPr>
        <w:t>representative:</w:t>
      </w:r>
      <w:r>
        <w:rPr>
          <w:color w:val="231F20"/>
          <w:spacing w:val="47"/>
          <w:sz w:val="20"/>
        </w:rPr>
        <w:t> </w:t>
      </w:r>
      <w:r>
        <w:rPr>
          <w:color w:val="231F20"/>
          <w:sz w:val="20"/>
        </w:rPr>
        <w:t>Zhang</w:t>
      </w:r>
      <w:r>
        <w:rPr>
          <w:color w:val="231F20"/>
          <w:spacing w:val="47"/>
          <w:sz w:val="20"/>
        </w:rPr>
        <w:t> </w:t>
      </w:r>
      <w:r>
        <w:rPr>
          <w:color w:val="231F20"/>
          <w:spacing w:val="-2"/>
          <w:sz w:val="20"/>
        </w:rPr>
        <w:t>Heping</w:t>
      </w:r>
    </w:p>
    <w:p>
      <w:pPr>
        <w:pStyle w:val="BodyText"/>
        <w:spacing w:before="100"/>
      </w:pPr>
    </w:p>
    <w:p>
      <w:pPr>
        <w:pStyle w:val="ListParagraph"/>
        <w:numPr>
          <w:ilvl w:val="1"/>
          <w:numId w:val="8"/>
        </w:numPr>
        <w:tabs>
          <w:tab w:pos="2410" w:val="left" w:leader="none"/>
        </w:tabs>
        <w:spacing w:line="292" w:lineRule="auto" w:before="0" w:after="0"/>
        <w:ind w:left="2410" w:right="132" w:hanging="567"/>
        <w:jc w:val="both"/>
        <w:rPr>
          <w:sz w:val="20"/>
        </w:rPr>
      </w:pPr>
      <w:r>
        <w:rPr>
          <w:color w:val="231F20"/>
          <w:sz w:val="20"/>
        </w:rPr>
        <w:t>Scope of business: research and development, processing, and sales of packaging boxes, packaging cartons, paper products, and paper tableware; packaging and decoration</w:t>
      </w:r>
      <w:r>
        <w:rPr>
          <w:color w:val="231F20"/>
          <w:spacing w:val="40"/>
          <w:sz w:val="20"/>
        </w:rPr>
        <w:t> </w:t>
      </w:r>
      <w:r>
        <w:rPr>
          <w:color w:val="231F20"/>
          <w:sz w:val="20"/>
        </w:rPr>
        <w:t>printing;</w:t>
      </w:r>
      <w:r>
        <w:rPr>
          <w:color w:val="231F20"/>
          <w:spacing w:val="40"/>
          <w:sz w:val="20"/>
        </w:rPr>
        <w:t> </w:t>
      </w:r>
      <w:r>
        <w:rPr>
          <w:color w:val="231F20"/>
          <w:sz w:val="20"/>
        </w:rPr>
        <w:t>graphic</w:t>
      </w:r>
      <w:r>
        <w:rPr>
          <w:color w:val="231F20"/>
          <w:spacing w:val="40"/>
          <w:sz w:val="20"/>
        </w:rPr>
        <w:t> </w:t>
      </w:r>
      <w:r>
        <w:rPr>
          <w:color w:val="231F20"/>
          <w:sz w:val="20"/>
        </w:rPr>
        <w:t>design;</w:t>
      </w:r>
      <w:r>
        <w:rPr>
          <w:color w:val="231F20"/>
          <w:spacing w:val="40"/>
          <w:sz w:val="20"/>
        </w:rPr>
        <w:t> </w:t>
      </w:r>
      <w:r>
        <w:rPr>
          <w:color w:val="231F20"/>
          <w:sz w:val="20"/>
        </w:rPr>
        <w:t>technical</w:t>
      </w:r>
      <w:r>
        <w:rPr>
          <w:color w:val="231F20"/>
          <w:spacing w:val="40"/>
          <w:sz w:val="20"/>
        </w:rPr>
        <w:t> </w:t>
      </w:r>
      <w:r>
        <w:rPr>
          <w:color w:val="231F20"/>
          <w:sz w:val="20"/>
        </w:rPr>
        <w:t>development,</w:t>
      </w:r>
      <w:r>
        <w:rPr>
          <w:color w:val="231F20"/>
          <w:spacing w:val="40"/>
          <w:sz w:val="20"/>
        </w:rPr>
        <w:t> </w:t>
      </w:r>
      <w:r>
        <w:rPr>
          <w:color w:val="231F20"/>
          <w:sz w:val="20"/>
        </w:rPr>
        <w:t>technical</w:t>
      </w:r>
      <w:r>
        <w:rPr>
          <w:color w:val="231F20"/>
          <w:spacing w:val="40"/>
          <w:sz w:val="20"/>
        </w:rPr>
        <w:t> </w:t>
      </w:r>
      <w:r>
        <w:rPr>
          <w:color w:val="231F20"/>
          <w:sz w:val="20"/>
        </w:rPr>
        <w:t>services, and maintenance of printing equipment; wholesale and retail of: paper, </w:t>
      </w:r>
      <w:r>
        <w:rPr>
          <w:color w:val="231F20"/>
          <w:sz w:val="20"/>
        </w:rPr>
        <w:t>printing consumables, printing equipment, food packaging materials, plastic products, printing</w:t>
      </w:r>
      <w:r>
        <w:rPr>
          <w:color w:val="231F20"/>
          <w:spacing w:val="40"/>
          <w:sz w:val="20"/>
        </w:rPr>
        <w:t> </w:t>
      </w:r>
      <w:r>
        <w:rPr>
          <w:color w:val="231F20"/>
          <w:sz w:val="20"/>
        </w:rPr>
        <w:t>machinery</w:t>
      </w:r>
      <w:r>
        <w:rPr>
          <w:color w:val="231F20"/>
          <w:spacing w:val="40"/>
          <w:sz w:val="20"/>
        </w:rPr>
        <w:t> </w:t>
      </w:r>
      <w:r>
        <w:rPr>
          <w:color w:val="231F20"/>
          <w:sz w:val="20"/>
        </w:rPr>
        <w:t>and</w:t>
      </w:r>
      <w:r>
        <w:rPr>
          <w:color w:val="231F20"/>
          <w:spacing w:val="40"/>
          <w:sz w:val="20"/>
        </w:rPr>
        <w:t> </w:t>
      </w:r>
      <w:r>
        <w:rPr>
          <w:color w:val="231F20"/>
          <w:sz w:val="20"/>
        </w:rPr>
        <w:t>parts,</w:t>
      </w:r>
      <w:r>
        <w:rPr>
          <w:color w:val="231F20"/>
          <w:spacing w:val="40"/>
          <w:sz w:val="20"/>
        </w:rPr>
        <w:t> </w:t>
      </w:r>
      <w:r>
        <w:rPr>
          <w:color w:val="231F20"/>
          <w:sz w:val="20"/>
        </w:rPr>
        <w:t>stationery</w:t>
      </w:r>
      <w:r>
        <w:rPr>
          <w:color w:val="231F20"/>
          <w:spacing w:val="40"/>
          <w:sz w:val="20"/>
        </w:rPr>
        <w:t> </w:t>
      </w:r>
      <w:r>
        <w:rPr>
          <w:color w:val="231F20"/>
          <w:sz w:val="20"/>
        </w:rPr>
        <w:t>supplies;</w:t>
      </w:r>
      <w:r>
        <w:rPr>
          <w:color w:val="231F20"/>
          <w:spacing w:val="40"/>
          <w:sz w:val="20"/>
        </w:rPr>
        <w:t> </w:t>
      </w:r>
      <w:r>
        <w:rPr>
          <w:color w:val="231F20"/>
          <w:sz w:val="20"/>
        </w:rPr>
        <w:t>import</w:t>
      </w:r>
      <w:r>
        <w:rPr>
          <w:color w:val="231F20"/>
          <w:spacing w:val="40"/>
          <w:sz w:val="20"/>
        </w:rPr>
        <w:t> </w:t>
      </w:r>
      <w:r>
        <w:rPr>
          <w:color w:val="231F20"/>
          <w:sz w:val="20"/>
        </w:rPr>
        <w:t>and</w:t>
      </w:r>
      <w:r>
        <w:rPr>
          <w:color w:val="231F20"/>
          <w:spacing w:val="40"/>
          <w:sz w:val="20"/>
        </w:rPr>
        <w:t> </w:t>
      </w:r>
      <w:r>
        <w:rPr>
          <w:color w:val="231F20"/>
          <w:sz w:val="20"/>
        </w:rPr>
        <w:t>export</w:t>
      </w:r>
      <w:r>
        <w:rPr>
          <w:color w:val="231F20"/>
          <w:spacing w:val="40"/>
          <w:sz w:val="20"/>
        </w:rPr>
        <w:t> </w:t>
      </w:r>
      <w:r>
        <w:rPr>
          <w:color w:val="231F20"/>
          <w:sz w:val="20"/>
        </w:rPr>
        <w:t>of</w:t>
      </w:r>
      <w:r>
        <w:rPr>
          <w:color w:val="231F20"/>
          <w:spacing w:val="40"/>
          <w:sz w:val="20"/>
        </w:rPr>
        <w:t> </w:t>
      </w:r>
      <w:r>
        <w:rPr>
          <w:color w:val="231F20"/>
          <w:sz w:val="20"/>
        </w:rPr>
        <w:t>goods and technology; machinery and equipment leasing; property leasing. (Business activities subject to approval according to law may be carried out only after</w:t>
      </w:r>
      <w:r>
        <w:rPr>
          <w:color w:val="231F20"/>
          <w:spacing w:val="80"/>
          <w:sz w:val="20"/>
        </w:rPr>
        <w:t> </w:t>
      </w:r>
      <w:r>
        <w:rPr>
          <w:color w:val="231F20"/>
          <w:sz w:val="20"/>
        </w:rPr>
        <w:t>approval by relevant departments)</w:t>
      </w:r>
    </w:p>
    <w:p>
      <w:pPr>
        <w:pStyle w:val="BodyText"/>
        <w:spacing w:before="44"/>
      </w:pPr>
    </w:p>
    <w:p>
      <w:pPr>
        <w:pStyle w:val="ListParagraph"/>
        <w:numPr>
          <w:ilvl w:val="1"/>
          <w:numId w:val="8"/>
        </w:numPr>
        <w:tabs>
          <w:tab w:pos="2410" w:val="left" w:leader="none"/>
        </w:tabs>
        <w:spacing w:line="292" w:lineRule="auto" w:before="1" w:after="0"/>
        <w:ind w:left="2410" w:right="135" w:hanging="567"/>
        <w:jc w:val="both"/>
        <w:rPr>
          <w:sz w:val="20"/>
        </w:rPr>
      </w:pPr>
      <w:r>
        <w:rPr>
          <w:color w:val="231F20"/>
          <w:sz w:val="20"/>
        </w:rPr>
        <w:t>Related party relationship or business association with the Company: a </w:t>
      </w:r>
      <w:r>
        <w:rPr>
          <w:color w:val="231F20"/>
          <w:sz w:val="20"/>
        </w:rPr>
        <w:t>wholly- owned subsidiary of the Company</w:t>
      </w:r>
    </w:p>
    <w:p>
      <w:pPr>
        <w:pStyle w:val="ListParagraph"/>
        <w:spacing w:after="0" w:line="292" w:lineRule="auto"/>
        <w:jc w:val="both"/>
        <w:rPr>
          <w:sz w:val="20"/>
        </w:rPr>
        <w:sectPr>
          <w:pgSz w:w="11910" w:h="15880"/>
          <w:pgMar w:header="567" w:footer="573" w:top="1300" w:bottom="760" w:left="1275" w:right="1275"/>
        </w:sectPr>
      </w:pPr>
    </w:p>
    <w:p>
      <w:pPr>
        <w:pStyle w:val="BodyText"/>
        <w:spacing w:before="144"/>
      </w:pPr>
    </w:p>
    <w:p>
      <w:pPr>
        <w:pStyle w:val="ListParagraph"/>
        <w:numPr>
          <w:ilvl w:val="1"/>
          <w:numId w:val="8"/>
        </w:numPr>
        <w:tabs>
          <w:tab w:pos="2409" w:val="left" w:leader="none"/>
        </w:tabs>
        <w:spacing w:line="240" w:lineRule="auto" w:before="1" w:after="0"/>
        <w:ind w:left="2409" w:right="0" w:hanging="566"/>
        <w:jc w:val="left"/>
        <w:rPr>
          <w:sz w:val="20"/>
        </w:rPr>
      </w:pPr>
      <w:r>
        <w:rPr>
          <w:color w:val="231F20"/>
          <w:sz w:val="20"/>
        </w:rPr>
        <w:t>Key</w:t>
      </w:r>
      <w:r>
        <w:rPr>
          <w:color w:val="231F20"/>
          <w:spacing w:val="29"/>
          <w:sz w:val="20"/>
        </w:rPr>
        <w:t> </w:t>
      </w:r>
      <w:r>
        <w:rPr>
          <w:color w:val="231F20"/>
          <w:sz w:val="20"/>
        </w:rPr>
        <w:t>financial</w:t>
      </w:r>
      <w:r>
        <w:rPr>
          <w:color w:val="231F20"/>
          <w:spacing w:val="30"/>
          <w:sz w:val="20"/>
        </w:rPr>
        <w:t> </w:t>
      </w:r>
      <w:r>
        <w:rPr>
          <w:color w:val="231F20"/>
          <w:sz w:val="20"/>
        </w:rPr>
        <w:t>data</w:t>
      </w:r>
      <w:r>
        <w:rPr>
          <w:color w:val="231F20"/>
          <w:spacing w:val="30"/>
          <w:sz w:val="20"/>
        </w:rPr>
        <w:t> </w:t>
      </w:r>
      <w:r>
        <w:rPr>
          <w:color w:val="231F20"/>
          <w:sz w:val="20"/>
        </w:rPr>
        <w:t>for</w:t>
      </w:r>
      <w:r>
        <w:rPr>
          <w:color w:val="231F20"/>
          <w:spacing w:val="29"/>
          <w:sz w:val="20"/>
        </w:rPr>
        <w:t> </w:t>
      </w:r>
      <w:r>
        <w:rPr>
          <w:color w:val="231F20"/>
          <w:sz w:val="20"/>
        </w:rPr>
        <w:t>the</w:t>
      </w:r>
      <w:r>
        <w:rPr>
          <w:color w:val="231F20"/>
          <w:spacing w:val="30"/>
          <w:sz w:val="20"/>
        </w:rPr>
        <w:t> </w:t>
      </w:r>
      <w:r>
        <w:rPr>
          <w:color w:val="231F20"/>
          <w:sz w:val="20"/>
        </w:rPr>
        <w:t>latest</w:t>
      </w:r>
      <w:r>
        <w:rPr>
          <w:color w:val="231F20"/>
          <w:spacing w:val="30"/>
          <w:sz w:val="20"/>
        </w:rPr>
        <w:t> </w:t>
      </w:r>
      <w:r>
        <w:rPr>
          <w:color w:val="231F20"/>
          <w:sz w:val="20"/>
        </w:rPr>
        <w:t>financial</w:t>
      </w:r>
      <w:r>
        <w:rPr>
          <w:color w:val="231F20"/>
          <w:spacing w:val="29"/>
          <w:sz w:val="20"/>
        </w:rPr>
        <w:t> </w:t>
      </w:r>
      <w:r>
        <w:rPr>
          <w:color w:val="231F20"/>
          <w:sz w:val="20"/>
        </w:rPr>
        <w:t>year</w:t>
      </w:r>
      <w:r>
        <w:rPr>
          <w:color w:val="231F20"/>
          <w:spacing w:val="30"/>
          <w:sz w:val="20"/>
        </w:rPr>
        <w:t> </w:t>
      </w:r>
      <w:r>
        <w:rPr>
          <w:color w:val="231F20"/>
          <w:sz w:val="20"/>
        </w:rPr>
        <w:t>and</w:t>
      </w:r>
      <w:r>
        <w:rPr>
          <w:color w:val="231F20"/>
          <w:spacing w:val="30"/>
          <w:sz w:val="20"/>
        </w:rPr>
        <w:t> </w:t>
      </w:r>
      <w:r>
        <w:rPr>
          <w:color w:val="231F20"/>
          <w:sz w:val="20"/>
        </w:rPr>
        <w:t>the</w:t>
      </w:r>
      <w:r>
        <w:rPr>
          <w:color w:val="231F20"/>
          <w:spacing w:val="29"/>
          <w:sz w:val="20"/>
        </w:rPr>
        <w:t> </w:t>
      </w:r>
      <w:r>
        <w:rPr>
          <w:color w:val="231F20"/>
          <w:sz w:val="20"/>
        </w:rPr>
        <w:t>subsequent</w:t>
      </w:r>
      <w:r>
        <w:rPr>
          <w:color w:val="231F20"/>
          <w:spacing w:val="30"/>
          <w:sz w:val="20"/>
        </w:rPr>
        <w:t> </w:t>
      </w:r>
      <w:r>
        <w:rPr>
          <w:color w:val="231F20"/>
          <w:sz w:val="20"/>
        </w:rPr>
        <w:t>interim</w:t>
      </w:r>
      <w:r>
        <w:rPr>
          <w:color w:val="231F20"/>
          <w:spacing w:val="30"/>
          <w:sz w:val="20"/>
        </w:rPr>
        <w:t> </w:t>
      </w:r>
      <w:r>
        <w:rPr>
          <w:color w:val="231F20"/>
          <w:spacing w:val="-2"/>
          <w:sz w:val="20"/>
        </w:rPr>
        <w:t>period</w:t>
      </w:r>
    </w:p>
    <w:p>
      <w:pPr>
        <w:pStyle w:val="BodyText"/>
        <w:spacing w:before="98"/>
      </w:pPr>
    </w:p>
    <w:tbl>
      <w:tblPr>
        <w:tblW w:w="0" w:type="auto"/>
        <w:jc w:val="left"/>
        <w:tblInd w:w="1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3"/>
        <w:gridCol w:w="3738"/>
        <w:gridCol w:w="1732"/>
        <w:gridCol w:w="1657"/>
      </w:tblGrid>
      <w:tr>
        <w:trPr>
          <w:trHeight w:val="255" w:hRule="atLeast"/>
        </w:trPr>
        <w:tc>
          <w:tcPr>
            <w:tcW w:w="4151" w:type="dxa"/>
            <w:gridSpan w:val="2"/>
            <w:vMerge w:val="restart"/>
          </w:tcPr>
          <w:p>
            <w:pPr>
              <w:pStyle w:val="TableParagraph"/>
              <w:spacing w:before="0"/>
              <w:rPr>
                <w:sz w:val="20"/>
              </w:rPr>
            </w:pPr>
          </w:p>
        </w:tc>
        <w:tc>
          <w:tcPr>
            <w:tcW w:w="1732" w:type="dxa"/>
          </w:tcPr>
          <w:p>
            <w:pPr>
              <w:pStyle w:val="TableParagraph"/>
              <w:spacing w:before="0"/>
              <w:rPr>
                <w:sz w:val="18"/>
              </w:rPr>
            </w:pPr>
          </w:p>
        </w:tc>
        <w:tc>
          <w:tcPr>
            <w:tcW w:w="1657" w:type="dxa"/>
          </w:tcPr>
          <w:p>
            <w:pPr>
              <w:pStyle w:val="TableParagraph"/>
              <w:spacing w:before="1"/>
              <w:ind w:right="112"/>
              <w:jc w:val="right"/>
              <w:rPr>
                <w:b/>
                <w:sz w:val="20"/>
              </w:rPr>
            </w:pPr>
            <w:r>
              <w:rPr>
                <w:b/>
                <w:color w:val="231F20"/>
                <w:sz w:val="20"/>
              </w:rPr>
              <w:t>As</w:t>
            </w:r>
            <w:r>
              <w:rPr>
                <w:b/>
                <w:color w:val="231F20"/>
                <w:spacing w:val="12"/>
                <w:sz w:val="20"/>
              </w:rPr>
              <w:t> </w:t>
            </w:r>
            <w:r>
              <w:rPr>
                <w:b/>
                <w:color w:val="231F20"/>
                <w:spacing w:val="-5"/>
                <w:sz w:val="20"/>
              </w:rPr>
              <w:t>at</w:t>
            </w:r>
          </w:p>
        </w:tc>
      </w:tr>
      <w:tr>
        <w:trPr>
          <w:trHeight w:val="280" w:hRule="atLeast"/>
        </w:trPr>
        <w:tc>
          <w:tcPr>
            <w:tcW w:w="4151" w:type="dxa"/>
            <w:gridSpan w:val="2"/>
            <w:vMerge/>
            <w:tcBorders>
              <w:top w:val="nil"/>
            </w:tcBorders>
          </w:tcPr>
          <w:p>
            <w:pPr>
              <w:rPr>
                <w:sz w:val="2"/>
                <w:szCs w:val="2"/>
              </w:rPr>
            </w:pPr>
          </w:p>
        </w:tc>
        <w:tc>
          <w:tcPr>
            <w:tcW w:w="1732" w:type="dxa"/>
          </w:tcPr>
          <w:p>
            <w:pPr>
              <w:pStyle w:val="TableParagraph"/>
              <w:spacing w:before="25"/>
              <w:ind w:right="156"/>
              <w:jc w:val="right"/>
              <w:rPr>
                <w:b/>
                <w:sz w:val="20"/>
              </w:rPr>
            </w:pPr>
            <w:r>
              <w:rPr>
                <w:b/>
                <w:color w:val="231F20"/>
                <w:sz w:val="20"/>
              </w:rPr>
              <w:t>As</w:t>
            </w:r>
            <w:r>
              <w:rPr>
                <w:b/>
                <w:color w:val="231F20"/>
                <w:spacing w:val="12"/>
                <w:sz w:val="20"/>
              </w:rPr>
              <w:t> </w:t>
            </w:r>
            <w:r>
              <w:rPr>
                <w:b/>
                <w:color w:val="231F20"/>
                <w:spacing w:val="-5"/>
                <w:sz w:val="20"/>
              </w:rPr>
              <w:t>at</w:t>
            </w:r>
          </w:p>
        </w:tc>
        <w:tc>
          <w:tcPr>
            <w:tcW w:w="1657" w:type="dxa"/>
          </w:tcPr>
          <w:p>
            <w:pPr>
              <w:pStyle w:val="TableParagraph"/>
              <w:spacing w:before="25"/>
              <w:ind w:right="112"/>
              <w:jc w:val="right"/>
              <w:rPr>
                <w:b/>
                <w:sz w:val="20"/>
              </w:rPr>
            </w:pPr>
            <w:r>
              <w:rPr>
                <w:b/>
                <w:color w:val="231F20"/>
                <w:sz w:val="20"/>
              </w:rPr>
              <w:t>December</w:t>
            </w:r>
            <w:r>
              <w:rPr>
                <w:b/>
                <w:color w:val="231F20"/>
                <w:spacing w:val="45"/>
                <w:sz w:val="20"/>
              </w:rPr>
              <w:t> </w:t>
            </w:r>
            <w:r>
              <w:rPr>
                <w:b/>
                <w:color w:val="231F20"/>
                <w:spacing w:val="-5"/>
                <w:sz w:val="20"/>
              </w:rPr>
              <w:t>31,</w:t>
            </w:r>
          </w:p>
        </w:tc>
      </w:tr>
      <w:tr>
        <w:trPr>
          <w:trHeight w:val="280" w:hRule="atLeast"/>
        </w:trPr>
        <w:tc>
          <w:tcPr>
            <w:tcW w:w="4151" w:type="dxa"/>
            <w:gridSpan w:val="2"/>
            <w:vMerge/>
            <w:tcBorders>
              <w:top w:val="nil"/>
            </w:tcBorders>
          </w:tcPr>
          <w:p>
            <w:pPr>
              <w:rPr>
                <w:sz w:val="2"/>
                <w:szCs w:val="2"/>
              </w:rPr>
            </w:pPr>
          </w:p>
        </w:tc>
        <w:tc>
          <w:tcPr>
            <w:tcW w:w="1732" w:type="dxa"/>
          </w:tcPr>
          <w:p>
            <w:pPr>
              <w:pStyle w:val="TableParagraph"/>
              <w:spacing w:before="25"/>
              <w:ind w:right="156"/>
              <w:jc w:val="right"/>
              <w:rPr>
                <w:b/>
                <w:sz w:val="20"/>
              </w:rPr>
            </w:pPr>
            <w:r>
              <w:rPr>
                <w:b/>
                <w:color w:val="231F20"/>
                <w:sz w:val="20"/>
              </w:rPr>
              <w:t>June</w:t>
            </w:r>
            <w:r>
              <w:rPr>
                <w:b/>
                <w:color w:val="231F20"/>
                <w:spacing w:val="18"/>
                <w:sz w:val="20"/>
              </w:rPr>
              <w:t> </w:t>
            </w:r>
            <w:r>
              <w:rPr>
                <w:b/>
                <w:color w:val="231F20"/>
                <w:sz w:val="20"/>
              </w:rPr>
              <w:t>30,</w:t>
            </w:r>
            <w:r>
              <w:rPr>
                <w:b/>
                <w:color w:val="231F20"/>
                <w:spacing w:val="19"/>
                <w:sz w:val="20"/>
              </w:rPr>
              <w:t> </w:t>
            </w:r>
            <w:r>
              <w:rPr>
                <w:b/>
                <w:color w:val="231F20"/>
                <w:spacing w:val="-2"/>
                <w:sz w:val="20"/>
              </w:rPr>
              <w:t>2025/</w:t>
            </w:r>
          </w:p>
        </w:tc>
        <w:tc>
          <w:tcPr>
            <w:tcW w:w="1657" w:type="dxa"/>
          </w:tcPr>
          <w:p>
            <w:pPr>
              <w:pStyle w:val="TableParagraph"/>
              <w:spacing w:before="25"/>
              <w:ind w:right="112"/>
              <w:jc w:val="right"/>
              <w:rPr>
                <w:b/>
                <w:sz w:val="20"/>
              </w:rPr>
            </w:pPr>
            <w:r>
              <w:rPr>
                <w:b/>
                <w:color w:val="231F20"/>
                <w:sz w:val="20"/>
              </w:rPr>
              <w:t>2024/For</w:t>
            </w:r>
            <w:r>
              <w:rPr>
                <w:b/>
                <w:color w:val="231F20"/>
                <w:spacing w:val="43"/>
                <w:sz w:val="20"/>
              </w:rPr>
              <w:t> </w:t>
            </w:r>
            <w:r>
              <w:rPr>
                <w:b/>
                <w:color w:val="231F20"/>
                <w:spacing w:val="-2"/>
                <w:sz w:val="20"/>
              </w:rPr>
              <w:t>period</w:t>
            </w:r>
          </w:p>
        </w:tc>
      </w:tr>
      <w:tr>
        <w:trPr>
          <w:trHeight w:val="280" w:hRule="atLeast"/>
        </w:trPr>
        <w:tc>
          <w:tcPr>
            <w:tcW w:w="4151" w:type="dxa"/>
            <w:gridSpan w:val="2"/>
            <w:vMerge/>
            <w:tcBorders>
              <w:top w:val="nil"/>
            </w:tcBorders>
          </w:tcPr>
          <w:p>
            <w:pPr>
              <w:rPr>
                <w:sz w:val="2"/>
                <w:szCs w:val="2"/>
              </w:rPr>
            </w:pPr>
          </w:p>
        </w:tc>
        <w:tc>
          <w:tcPr>
            <w:tcW w:w="1732" w:type="dxa"/>
          </w:tcPr>
          <w:p>
            <w:pPr>
              <w:pStyle w:val="TableParagraph"/>
              <w:spacing w:before="25"/>
              <w:ind w:right="156"/>
              <w:jc w:val="right"/>
              <w:rPr>
                <w:b/>
                <w:sz w:val="20"/>
              </w:rPr>
            </w:pPr>
            <w:r>
              <w:rPr>
                <w:b/>
                <w:color w:val="231F20"/>
                <w:sz w:val="20"/>
              </w:rPr>
              <w:t>For</w:t>
            </w:r>
            <w:r>
              <w:rPr>
                <w:b/>
                <w:color w:val="231F20"/>
                <w:spacing w:val="20"/>
                <w:sz w:val="20"/>
              </w:rPr>
              <w:t> </w:t>
            </w:r>
            <w:r>
              <w:rPr>
                <w:b/>
                <w:color w:val="231F20"/>
                <w:sz w:val="20"/>
              </w:rPr>
              <w:t>the</w:t>
            </w:r>
            <w:r>
              <w:rPr>
                <w:b/>
                <w:color w:val="231F20"/>
                <w:spacing w:val="20"/>
                <w:sz w:val="20"/>
              </w:rPr>
              <w:t> </w:t>
            </w:r>
            <w:r>
              <w:rPr>
                <w:b/>
                <w:color w:val="231F20"/>
                <w:spacing w:val="-2"/>
                <w:sz w:val="20"/>
              </w:rPr>
              <w:t>period</w:t>
            </w:r>
          </w:p>
        </w:tc>
        <w:tc>
          <w:tcPr>
            <w:tcW w:w="1657" w:type="dxa"/>
          </w:tcPr>
          <w:p>
            <w:pPr>
              <w:pStyle w:val="TableParagraph"/>
              <w:spacing w:before="25"/>
              <w:ind w:right="112"/>
              <w:jc w:val="right"/>
              <w:rPr>
                <w:b/>
                <w:sz w:val="20"/>
              </w:rPr>
            </w:pPr>
            <w:r>
              <w:rPr>
                <w:b/>
                <w:color w:val="231F20"/>
                <w:sz w:val="20"/>
              </w:rPr>
              <w:t>from</w:t>
            </w:r>
            <w:r>
              <w:rPr>
                <w:b/>
                <w:color w:val="231F20"/>
                <w:spacing w:val="25"/>
                <w:sz w:val="20"/>
              </w:rPr>
              <w:t> </w:t>
            </w:r>
            <w:r>
              <w:rPr>
                <w:b/>
                <w:color w:val="231F20"/>
                <w:spacing w:val="-2"/>
                <w:sz w:val="20"/>
              </w:rPr>
              <w:t>January</w:t>
            </w:r>
          </w:p>
        </w:tc>
      </w:tr>
      <w:tr>
        <w:trPr>
          <w:trHeight w:val="280" w:hRule="atLeast"/>
        </w:trPr>
        <w:tc>
          <w:tcPr>
            <w:tcW w:w="4151" w:type="dxa"/>
            <w:gridSpan w:val="2"/>
            <w:vMerge/>
            <w:tcBorders>
              <w:top w:val="nil"/>
            </w:tcBorders>
          </w:tcPr>
          <w:p>
            <w:pPr>
              <w:rPr>
                <w:sz w:val="2"/>
                <w:szCs w:val="2"/>
              </w:rPr>
            </w:pPr>
          </w:p>
        </w:tc>
        <w:tc>
          <w:tcPr>
            <w:tcW w:w="1732" w:type="dxa"/>
          </w:tcPr>
          <w:p>
            <w:pPr>
              <w:pStyle w:val="TableParagraph"/>
              <w:spacing w:before="25"/>
              <w:ind w:right="156"/>
              <w:jc w:val="right"/>
              <w:rPr>
                <w:b/>
                <w:sz w:val="20"/>
              </w:rPr>
            </w:pPr>
            <w:r>
              <w:rPr>
                <w:b/>
                <w:color w:val="231F20"/>
                <w:sz w:val="20"/>
              </w:rPr>
              <w:t>from</w:t>
            </w:r>
            <w:r>
              <w:rPr>
                <w:b/>
                <w:color w:val="231F20"/>
                <w:spacing w:val="25"/>
                <w:sz w:val="20"/>
              </w:rPr>
              <w:t> </w:t>
            </w:r>
            <w:r>
              <w:rPr>
                <w:b/>
                <w:color w:val="231F20"/>
                <w:spacing w:val="-2"/>
                <w:sz w:val="20"/>
              </w:rPr>
              <w:t>January</w:t>
            </w:r>
          </w:p>
        </w:tc>
        <w:tc>
          <w:tcPr>
            <w:tcW w:w="1657" w:type="dxa"/>
          </w:tcPr>
          <w:p>
            <w:pPr>
              <w:pStyle w:val="TableParagraph"/>
              <w:spacing w:before="25"/>
              <w:ind w:right="112"/>
              <w:jc w:val="right"/>
              <w:rPr>
                <w:b/>
                <w:sz w:val="20"/>
              </w:rPr>
            </w:pPr>
            <w:r>
              <w:rPr>
                <w:b/>
                <w:color w:val="231F20"/>
                <w:sz w:val="20"/>
              </w:rPr>
              <w:t>to</w:t>
            </w:r>
            <w:r>
              <w:rPr>
                <w:b/>
                <w:color w:val="231F20"/>
                <w:spacing w:val="12"/>
                <w:sz w:val="20"/>
              </w:rPr>
              <w:t> </w:t>
            </w:r>
            <w:r>
              <w:rPr>
                <w:b/>
                <w:color w:val="231F20"/>
                <w:spacing w:val="-2"/>
                <w:sz w:val="20"/>
              </w:rPr>
              <w:t>December</w:t>
            </w:r>
          </w:p>
        </w:tc>
      </w:tr>
      <w:tr>
        <w:trPr>
          <w:trHeight w:val="280" w:hRule="atLeast"/>
        </w:trPr>
        <w:tc>
          <w:tcPr>
            <w:tcW w:w="4151" w:type="dxa"/>
            <w:gridSpan w:val="2"/>
            <w:vMerge/>
            <w:tcBorders>
              <w:top w:val="nil"/>
            </w:tcBorders>
          </w:tcPr>
          <w:p>
            <w:pPr>
              <w:rPr>
                <w:sz w:val="2"/>
                <w:szCs w:val="2"/>
              </w:rPr>
            </w:pPr>
          </w:p>
        </w:tc>
        <w:tc>
          <w:tcPr>
            <w:tcW w:w="1732" w:type="dxa"/>
          </w:tcPr>
          <w:p>
            <w:pPr>
              <w:pStyle w:val="TableParagraph"/>
              <w:spacing w:before="25"/>
              <w:ind w:right="156"/>
              <w:jc w:val="right"/>
              <w:rPr>
                <w:b/>
                <w:sz w:val="20"/>
              </w:rPr>
            </w:pPr>
            <w:r>
              <w:rPr>
                <w:b/>
                <w:color w:val="231F20"/>
                <w:sz w:val="20"/>
              </w:rPr>
              <w:t>to</w:t>
            </w:r>
            <w:r>
              <w:rPr>
                <w:b/>
                <w:color w:val="231F20"/>
                <w:spacing w:val="16"/>
                <w:sz w:val="20"/>
              </w:rPr>
              <w:t> </w:t>
            </w:r>
            <w:r>
              <w:rPr>
                <w:b/>
                <w:color w:val="231F20"/>
                <w:sz w:val="20"/>
              </w:rPr>
              <w:t>June</w:t>
            </w:r>
            <w:r>
              <w:rPr>
                <w:b/>
                <w:color w:val="231F20"/>
                <w:spacing w:val="17"/>
                <w:sz w:val="20"/>
              </w:rPr>
              <w:t> </w:t>
            </w:r>
            <w:r>
              <w:rPr>
                <w:b/>
                <w:color w:val="231F20"/>
                <w:spacing w:val="-4"/>
                <w:sz w:val="20"/>
              </w:rPr>
              <w:t>2025</w:t>
            </w:r>
          </w:p>
        </w:tc>
        <w:tc>
          <w:tcPr>
            <w:tcW w:w="1657" w:type="dxa"/>
          </w:tcPr>
          <w:p>
            <w:pPr>
              <w:pStyle w:val="TableParagraph"/>
              <w:spacing w:before="25"/>
              <w:ind w:right="112"/>
              <w:jc w:val="right"/>
              <w:rPr>
                <w:b/>
                <w:sz w:val="20"/>
              </w:rPr>
            </w:pPr>
            <w:r>
              <w:rPr>
                <w:b/>
                <w:color w:val="231F20"/>
                <w:spacing w:val="-4"/>
                <w:sz w:val="20"/>
              </w:rPr>
              <w:t>2024</w:t>
            </w:r>
          </w:p>
        </w:tc>
      </w:tr>
      <w:tr>
        <w:trPr>
          <w:trHeight w:val="704" w:hRule="atLeast"/>
        </w:trPr>
        <w:tc>
          <w:tcPr>
            <w:tcW w:w="413" w:type="dxa"/>
          </w:tcPr>
          <w:p>
            <w:pPr>
              <w:pStyle w:val="TableParagraph"/>
              <w:spacing w:before="0"/>
              <w:rPr>
                <w:sz w:val="20"/>
              </w:rPr>
            </w:pPr>
          </w:p>
        </w:tc>
        <w:tc>
          <w:tcPr>
            <w:tcW w:w="3738" w:type="dxa"/>
          </w:tcPr>
          <w:p>
            <w:pPr>
              <w:pStyle w:val="TableParagraph"/>
              <w:spacing w:before="25"/>
              <w:ind w:left="203"/>
              <w:rPr>
                <w:b/>
                <w:sz w:val="20"/>
              </w:rPr>
            </w:pPr>
            <w:r>
              <w:rPr>
                <w:b/>
                <w:color w:val="231F20"/>
                <w:spacing w:val="-2"/>
                <w:sz w:val="20"/>
              </w:rPr>
              <w:t>Items</w:t>
            </w:r>
          </w:p>
        </w:tc>
        <w:tc>
          <w:tcPr>
            <w:tcW w:w="1732" w:type="dxa"/>
          </w:tcPr>
          <w:p>
            <w:pPr>
              <w:pStyle w:val="TableParagraph"/>
              <w:spacing w:before="25"/>
              <w:ind w:left="551"/>
              <w:rPr>
                <w:b/>
                <w:sz w:val="20"/>
              </w:rPr>
            </w:pPr>
            <w:r>
              <w:rPr>
                <w:b/>
                <w:color w:val="231F20"/>
                <w:spacing w:val="-2"/>
                <w:sz w:val="20"/>
              </w:rPr>
              <w:t>(Unaudited)</w:t>
            </w:r>
          </w:p>
          <w:p>
            <w:pPr>
              <w:pStyle w:val="TableParagraph"/>
              <w:spacing w:before="50"/>
              <w:ind w:left="1014"/>
              <w:rPr>
                <w:b/>
                <w:i/>
                <w:sz w:val="20"/>
              </w:rPr>
            </w:pPr>
            <w:r>
              <w:rPr>
                <w:b/>
                <w:i/>
                <w:color w:val="231F20"/>
                <w:spacing w:val="-2"/>
                <w:w w:val="105"/>
                <w:sz w:val="20"/>
              </w:rPr>
              <w:t>(RMB)</w:t>
            </w:r>
          </w:p>
        </w:tc>
        <w:tc>
          <w:tcPr>
            <w:tcW w:w="1657" w:type="dxa"/>
          </w:tcPr>
          <w:p>
            <w:pPr>
              <w:pStyle w:val="TableParagraph"/>
              <w:spacing w:before="25"/>
              <w:ind w:left="741"/>
              <w:rPr>
                <w:b/>
                <w:sz w:val="20"/>
              </w:rPr>
            </w:pPr>
            <w:r>
              <w:rPr>
                <w:b/>
                <w:color w:val="231F20"/>
                <w:spacing w:val="-2"/>
                <w:sz w:val="20"/>
              </w:rPr>
              <w:t>(Audited)</w:t>
            </w:r>
          </w:p>
          <w:p>
            <w:pPr>
              <w:pStyle w:val="TableParagraph"/>
              <w:spacing w:before="50"/>
              <w:ind w:left="983"/>
              <w:rPr>
                <w:b/>
                <w:i/>
                <w:sz w:val="20"/>
              </w:rPr>
            </w:pPr>
            <w:r>
              <w:rPr>
                <w:b/>
                <w:i/>
                <w:color w:val="231F20"/>
                <w:spacing w:val="-2"/>
                <w:w w:val="105"/>
                <w:sz w:val="20"/>
              </w:rPr>
              <w:t>(RMB)</w:t>
            </w:r>
          </w:p>
        </w:tc>
      </w:tr>
      <w:tr>
        <w:trPr>
          <w:trHeight w:val="419" w:hRule="atLeast"/>
        </w:trPr>
        <w:tc>
          <w:tcPr>
            <w:tcW w:w="413" w:type="dxa"/>
          </w:tcPr>
          <w:p>
            <w:pPr>
              <w:pStyle w:val="TableParagraph"/>
              <w:spacing w:before="0"/>
              <w:rPr>
                <w:sz w:val="20"/>
              </w:rPr>
            </w:pPr>
          </w:p>
        </w:tc>
        <w:tc>
          <w:tcPr>
            <w:tcW w:w="3738" w:type="dxa"/>
          </w:tcPr>
          <w:p>
            <w:pPr>
              <w:pStyle w:val="TableParagraph"/>
              <w:spacing w:before="161"/>
              <w:ind w:left="203"/>
              <w:rPr>
                <w:sz w:val="20"/>
              </w:rPr>
            </w:pPr>
            <w:r>
              <w:rPr>
                <w:color w:val="231F20"/>
                <w:sz w:val="20"/>
              </w:rPr>
              <w:t>Total</w:t>
            </w:r>
            <w:r>
              <w:rPr>
                <w:color w:val="231F20"/>
                <w:spacing w:val="28"/>
                <w:sz w:val="20"/>
              </w:rPr>
              <w:t> </w:t>
            </w:r>
            <w:r>
              <w:rPr>
                <w:color w:val="231F20"/>
                <w:spacing w:val="-2"/>
                <w:sz w:val="20"/>
              </w:rPr>
              <w:t>assets</w:t>
            </w:r>
          </w:p>
        </w:tc>
        <w:tc>
          <w:tcPr>
            <w:tcW w:w="1732" w:type="dxa"/>
          </w:tcPr>
          <w:p>
            <w:pPr>
              <w:pStyle w:val="TableParagraph"/>
              <w:spacing w:before="161"/>
              <w:ind w:right="156"/>
              <w:jc w:val="right"/>
              <w:rPr>
                <w:sz w:val="20"/>
              </w:rPr>
            </w:pPr>
            <w:r>
              <w:rPr>
                <w:color w:val="231F20"/>
                <w:spacing w:val="-2"/>
                <w:sz w:val="20"/>
              </w:rPr>
              <w:t>353,737,879.08</w:t>
            </w:r>
          </w:p>
        </w:tc>
        <w:tc>
          <w:tcPr>
            <w:tcW w:w="1657" w:type="dxa"/>
          </w:tcPr>
          <w:p>
            <w:pPr>
              <w:pStyle w:val="TableParagraph"/>
              <w:spacing w:before="161"/>
              <w:ind w:right="114"/>
              <w:jc w:val="right"/>
              <w:rPr>
                <w:sz w:val="20"/>
              </w:rPr>
            </w:pPr>
            <w:r>
              <w:rPr>
                <w:color w:val="231F20"/>
                <w:spacing w:val="-2"/>
                <w:sz w:val="20"/>
              </w:rPr>
              <w:t>319,376,778.84</w:t>
            </w:r>
          </w:p>
        </w:tc>
      </w:tr>
      <w:tr>
        <w:trPr>
          <w:trHeight w:val="280" w:hRule="atLeast"/>
        </w:trPr>
        <w:tc>
          <w:tcPr>
            <w:tcW w:w="413" w:type="dxa"/>
          </w:tcPr>
          <w:p>
            <w:pPr>
              <w:pStyle w:val="TableParagraph"/>
              <w:spacing w:before="0"/>
              <w:rPr>
                <w:sz w:val="20"/>
              </w:rPr>
            </w:pPr>
          </w:p>
        </w:tc>
        <w:tc>
          <w:tcPr>
            <w:tcW w:w="3738" w:type="dxa"/>
          </w:tcPr>
          <w:p>
            <w:pPr>
              <w:pStyle w:val="TableParagraph"/>
              <w:ind w:left="203"/>
              <w:rPr>
                <w:sz w:val="20"/>
              </w:rPr>
            </w:pPr>
            <w:r>
              <w:rPr>
                <w:color w:val="231F20"/>
                <w:sz w:val="20"/>
              </w:rPr>
              <w:t>Total</w:t>
            </w:r>
            <w:r>
              <w:rPr>
                <w:color w:val="231F20"/>
                <w:spacing w:val="30"/>
                <w:sz w:val="20"/>
              </w:rPr>
              <w:t> </w:t>
            </w:r>
            <w:r>
              <w:rPr>
                <w:color w:val="231F20"/>
                <w:spacing w:val="-2"/>
                <w:sz w:val="20"/>
              </w:rPr>
              <w:t>liabilities</w:t>
            </w:r>
          </w:p>
        </w:tc>
        <w:tc>
          <w:tcPr>
            <w:tcW w:w="1732" w:type="dxa"/>
          </w:tcPr>
          <w:p>
            <w:pPr>
              <w:pStyle w:val="TableParagraph"/>
              <w:ind w:right="156"/>
              <w:jc w:val="right"/>
              <w:rPr>
                <w:sz w:val="20"/>
              </w:rPr>
            </w:pPr>
            <w:r>
              <w:rPr>
                <w:color w:val="231F20"/>
                <w:spacing w:val="-2"/>
                <w:sz w:val="20"/>
              </w:rPr>
              <w:t>199,977,438.03</w:t>
            </w:r>
          </w:p>
        </w:tc>
        <w:tc>
          <w:tcPr>
            <w:tcW w:w="1657" w:type="dxa"/>
          </w:tcPr>
          <w:p>
            <w:pPr>
              <w:pStyle w:val="TableParagraph"/>
              <w:ind w:right="114"/>
              <w:jc w:val="right"/>
              <w:rPr>
                <w:sz w:val="20"/>
              </w:rPr>
            </w:pPr>
            <w:r>
              <w:rPr>
                <w:color w:val="231F20"/>
                <w:spacing w:val="-2"/>
                <w:sz w:val="20"/>
              </w:rPr>
              <w:t>186,629,294.75</w:t>
            </w:r>
          </w:p>
        </w:tc>
      </w:tr>
      <w:tr>
        <w:trPr>
          <w:trHeight w:val="280" w:hRule="atLeast"/>
        </w:trPr>
        <w:tc>
          <w:tcPr>
            <w:tcW w:w="413" w:type="dxa"/>
          </w:tcPr>
          <w:p>
            <w:pPr>
              <w:pStyle w:val="TableParagraph"/>
              <w:spacing w:before="0"/>
              <w:rPr>
                <w:sz w:val="20"/>
              </w:rPr>
            </w:pPr>
          </w:p>
        </w:tc>
        <w:tc>
          <w:tcPr>
            <w:tcW w:w="3738" w:type="dxa"/>
          </w:tcPr>
          <w:p>
            <w:pPr>
              <w:pStyle w:val="TableParagraph"/>
              <w:ind w:left="203"/>
              <w:rPr>
                <w:sz w:val="20"/>
              </w:rPr>
            </w:pPr>
            <w:r>
              <w:rPr>
                <w:color w:val="231F20"/>
                <w:sz w:val="20"/>
              </w:rPr>
              <w:t>Net</w:t>
            </w:r>
            <w:r>
              <w:rPr>
                <w:color w:val="231F20"/>
                <w:spacing w:val="18"/>
                <w:sz w:val="20"/>
              </w:rPr>
              <w:t> </w:t>
            </w:r>
            <w:r>
              <w:rPr>
                <w:color w:val="231F20"/>
                <w:spacing w:val="-2"/>
                <w:sz w:val="20"/>
              </w:rPr>
              <w:t>assets</w:t>
            </w:r>
          </w:p>
        </w:tc>
        <w:tc>
          <w:tcPr>
            <w:tcW w:w="1732" w:type="dxa"/>
          </w:tcPr>
          <w:p>
            <w:pPr>
              <w:pStyle w:val="TableParagraph"/>
              <w:ind w:right="156"/>
              <w:jc w:val="right"/>
              <w:rPr>
                <w:sz w:val="20"/>
              </w:rPr>
            </w:pPr>
            <w:r>
              <w:rPr>
                <w:color w:val="231F20"/>
                <w:spacing w:val="-2"/>
                <w:sz w:val="20"/>
              </w:rPr>
              <w:t>153,760,441.05</w:t>
            </w:r>
          </w:p>
        </w:tc>
        <w:tc>
          <w:tcPr>
            <w:tcW w:w="1657" w:type="dxa"/>
          </w:tcPr>
          <w:p>
            <w:pPr>
              <w:pStyle w:val="TableParagraph"/>
              <w:ind w:right="114"/>
              <w:jc w:val="right"/>
              <w:rPr>
                <w:sz w:val="20"/>
              </w:rPr>
            </w:pPr>
            <w:r>
              <w:rPr>
                <w:color w:val="231F20"/>
                <w:spacing w:val="-2"/>
                <w:sz w:val="20"/>
              </w:rPr>
              <w:t>132,747,484.09</w:t>
            </w:r>
          </w:p>
        </w:tc>
      </w:tr>
      <w:tr>
        <w:trPr>
          <w:trHeight w:val="280" w:hRule="atLeast"/>
        </w:trPr>
        <w:tc>
          <w:tcPr>
            <w:tcW w:w="413" w:type="dxa"/>
          </w:tcPr>
          <w:p>
            <w:pPr>
              <w:pStyle w:val="TableParagraph"/>
              <w:spacing w:before="0"/>
              <w:rPr>
                <w:sz w:val="20"/>
              </w:rPr>
            </w:pPr>
          </w:p>
        </w:tc>
        <w:tc>
          <w:tcPr>
            <w:tcW w:w="3738" w:type="dxa"/>
          </w:tcPr>
          <w:p>
            <w:pPr>
              <w:pStyle w:val="TableParagraph"/>
              <w:ind w:left="203"/>
              <w:rPr>
                <w:sz w:val="20"/>
              </w:rPr>
            </w:pPr>
            <w:r>
              <w:rPr>
                <w:color w:val="231F20"/>
                <w:sz w:val="20"/>
              </w:rPr>
              <w:t>Operating</w:t>
            </w:r>
            <w:r>
              <w:rPr>
                <w:color w:val="231F20"/>
                <w:spacing w:val="50"/>
                <w:sz w:val="20"/>
              </w:rPr>
              <w:t> </w:t>
            </w:r>
            <w:r>
              <w:rPr>
                <w:color w:val="231F20"/>
                <w:spacing w:val="-2"/>
                <w:sz w:val="20"/>
              </w:rPr>
              <w:t>revenue</w:t>
            </w:r>
          </w:p>
        </w:tc>
        <w:tc>
          <w:tcPr>
            <w:tcW w:w="1732" w:type="dxa"/>
          </w:tcPr>
          <w:p>
            <w:pPr>
              <w:pStyle w:val="TableParagraph"/>
              <w:ind w:right="156"/>
              <w:jc w:val="right"/>
              <w:rPr>
                <w:sz w:val="20"/>
              </w:rPr>
            </w:pPr>
            <w:r>
              <w:rPr>
                <w:color w:val="231F20"/>
                <w:spacing w:val="-2"/>
                <w:sz w:val="20"/>
              </w:rPr>
              <w:t>183,155,447.48</w:t>
            </w:r>
          </w:p>
        </w:tc>
        <w:tc>
          <w:tcPr>
            <w:tcW w:w="1657" w:type="dxa"/>
          </w:tcPr>
          <w:p>
            <w:pPr>
              <w:pStyle w:val="TableParagraph"/>
              <w:ind w:right="114"/>
              <w:jc w:val="right"/>
              <w:rPr>
                <w:sz w:val="20"/>
              </w:rPr>
            </w:pPr>
            <w:r>
              <w:rPr>
                <w:color w:val="231F20"/>
                <w:spacing w:val="-2"/>
                <w:sz w:val="20"/>
              </w:rPr>
              <w:t>300,041,585.99</w:t>
            </w:r>
          </w:p>
        </w:tc>
      </w:tr>
      <w:tr>
        <w:trPr>
          <w:trHeight w:val="280" w:hRule="atLeast"/>
        </w:trPr>
        <w:tc>
          <w:tcPr>
            <w:tcW w:w="413" w:type="dxa"/>
          </w:tcPr>
          <w:p>
            <w:pPr>
              <w:pStyle w:val="TableParagraph"/>
              <w:spacing w:before="0"/>
              <w:rPr>
                <w:sz w:val="20"/>
              </w:rPr>
            </w:pPr>
          </w:p>
        </w:tc>
        <w:tc>
          <w:tcPr>
            <w:tcW w:w="3738" w:type="dxa"/>
          </w:tcPr>
          <w:p>
            <w:pPr>
              <w:pStyle w:val="TableParagraph"/>
              <w:ind w:left="203"/>
              <w:rPr>
                <w:sz w:val="20"/>
              </w:rPr>
            </w:pPr>
            <w:r>
              <w:rPr>
                <w:color w:val="231F20"/>
                <w:sz w:val="20"/>
              </w:rPr>
              <w:t>Total</w:t>
            </w:r>
            <w:r>
              <w:rPr>
                <w:color w:val="231F20"/>
                <w:spacing w:val="28"/>
                <w:sz w:val="20"/>
              </w:rPr>
              <w:t> </w:t>
            </w:r>
            <w:r>
              <w:rPr>
                <w:color w:val="231F20"/>
                <w:spacing w:val="-2"/>
                <w:sz w:val="20"/>
              </w:rPr>
              <w:t>profit</w:t>
            </w:r>
          </w:p>
        </w:tc>
        <w:tc>
          <w:tcPr>
            <w:tcW w:w="1732" w:type="dxa"/>
          </w:tcPr>
          <w:p>
            <w:pPr>
              <w:pStyle w:val="TableParagraph"/>
              <w:ind w:right="156"/>
              <w:jc w:val="right"/>
              <w:rPr>
                <w:sz w:val="20"/>
              </w:rPr>
            </w:pPr>
            <w:r>
              <w:rPr>
                <w:color w:val="231F20"/>
                <w:spacing w:val="-2"/>
                <w:sz w:val="20"/>
              </w:rPr>
              <w:t>21,173,249.03</w:t>
            </w:r>
          </w:p>
        </w:tc>
        <w:tc>
          <w:tcPr>
            <w:tcW w:w="1657" w:type="dxa"/>
          </w:tcPr>
          <w:p>
            <w:pPr>
              <w:pStyle w:val="TableParagraph"/>
              <w:ind w:right="114"/>
              <w:jc w:val="right"/>
              <w:rPr>
                <w:sz w:val="20"/>
              </w:rPr>
            </w:pPr>
            <w:r>
              <w:rPr>
                <w:color w:val="231F20"/>
                <w:spacing w:val="-2"/>
                <w:sz w:val="20"/>
              </w:rPr>
              <w:t>17,138,648.30</w:t>
            </w:r>
          </w:p>
        </w:tc>
      </w:tr>
      <w:tr>
        <w:trPr>
          <w:trHeight w:val="420" w:hRule="atLeast"/>
        </w:trPr>
        <w:tc>
          <w:tcPr>
            <w:tcW w:w="413" w:type="dxa"/>
          </w:tcPr>
          <w:p>
            <w:pPr>
              <w:pStyle w:val="TableParagraph"/>
              <w:spacing w:before="0"/>
              <w:rPr>
                <w:sz w:val="20"/>
              </w:rPr>
            </w:pPr>
          </w:p>
        </w:tc>
        <w:tc>
          <w:tcPr>
            <w:tcW w:w="3738" w:type="dxa"/>
          </w:tcPr>
          <w:p>
            <w:pPr>
              <w:pStyle w:val="TableParagraph"/>
              <w:ind w:left="203"/>
              <w:rPr>
                <w:sz w:val="20"/>
              </w:rPr>
            </w:pPr>
            <w:r>
              <w:rPr>
                <w:color w:val="231F20"/>
                <w:sz w:val="20"/>
              </w:rPr>
              <w:t>Net</w:t>
            </w:r>
            <w:r>
              <w:rPr>
                <w:color w:val="231F20"/>
                <w:spacing w:val="18"/>
                <w:sz w:val="20"/>
              </w:rPr>
              <w:t> </w:t>
            </w:r>
            <w:r>
              <w:rPr>
                <w:color w:val="231F20"/>
                <w:spacing w:val="-2"/>
                <w:sz w:val="20"/>
              </w:rPr>
              <w:t>profit</w:t>
            </w:r>
          </w:p>
        </w:tc>
        <w:tc>
          <w:tcPr>
            <w:tcW w:w="1732" w:type="dxa"/>
          </w:tcPr>
          <w:p>
            <w:pPr>
              <w:pStyle w:val="TableParagraph"/>
              <w:ind w:right="156"/>
              <w:jc w:val="right"/>
              <w:rPr>
                <w:sz w:val="20"/>
              </w:rPr>
            </w:pPr>
            <w:r>
              <w:rPr>
                <w:color w:val="231F20"/>
                <w:spacing w:val="-2"/>
                <w:sz w:val="20"/>
              </w:rPr>
              <w:t>21,012,956.96</w:t>
            </w:r>
          </w:p>
        </w:tc>
        <w:tc>
          <w:tcPr>
            <w:tcW w:w="1657" w:type="dxa"/>
          </w:tcPr>
          <w:p>
            <w:pPr>
              <w:pStyle w:val="TableParagraph"/>
              <w:ind w:right="114"/>
              <w:jc w:val="right"/>
              <w:rPr>
                <w:sz w:val="20"/>
              </w:rPr>
            </w:pPr>
            <w:r>
              <w:rPr>
                <w:color w:val="231F20"/>
                <w:spacing w:val="-2"/>
                <w:sz w:val="20"/>
              </w:rPr>
              <w:t>18,026,494.03</w:t>
            </w:r>
          </w:p>
        </w:tc>
      </w:tr>
      <w:tr>
        <w:trPr>
          <w:trHeight w:val="391" w:hRule="atLeast"/>
        </w:trPr>
        <w:tc>
          <w:tcPr>
            <w:tcW w:w="413" w:type="dxa"/>
          </w:tcPr>
          <w:p>
            <w:pPr>
              <w:pStyle w:val="TableParagraph"/>
              <w:spacing w:line="210" w:lineRule="exact" w:before="161"/>
              <w:ind w:left="50"/>
              <w:rPr>
                <w:sz w:val="20"/>
              </w:rPr>
            </w:pPr>
            <w:r>
              <w:rPr>
                <w:color w:val="231F20"/>
                <w:spacing w:val="-5"/>
                <w:sz w:val="20"/>
              </w:rPr>
              <w:t>9.</w:t>
            </w:r>
          </w:p>
        </w:tc>
        <w:tc>
          <w:tcPr>
            <w:tcW w:w="3738" w:type="dxa"/>
          </w:tcPr>
          <w:p>
            <w:pPr>
              <w:pStyle w:val="TableParagraph"/>
              <w:spacing w:line="210" w:lineRule="exact" w:before="161"/>
              <w:ind w:left="203"/>
              <w:rPr>
                <w:sz w:val="20"/>
              </w:rPr>
            </w:pPr>
            <w:r>
              <w:rPr>
                <w:color w:val="231F20"/>
                <w:sz w:val="20"/>
              </w:rPr>
              <w:t>Credit</w:t>
            </w:r>
            <w:r>
              <w:rPr>
                <w:color w:val="231F20"/>
                <w:spacing w:val="33"/>
                <w:sz w:val="20"/>
              </w:rPr>
              <w:t> </w:t>
            </w:r>
            <w:r>
              <w:rPr>
                <w:color w:val="231F20"/>
                <w:sz w:val="20"/>
              </w:rPr>
              <w:t>rating:</w:t>
            </w:r>
            <w:r>
              <w:rPr>
                <w:color w:val="231F20"/>
                <w:spacing w:val="34"/>
                <w:sz w:val="20"/>
              </w:rPr>
              <w:t> </w:t>
            </w:r>
            <w:r>
              <w:rPr>
                <w:color w:val="231F20"/>
                <w:sz w:val="20"/>
              </w:rPr>
              <w:t>No</w:t>
            </w:r>
            <w:r>
              <w:rPr>
                <w:color w:val="231F20"/>
                <w:spacing w:val="33"/>
                <w:sz w:val="20"/>
              </w:rPr>
              <w:t> </w:t>
            </w:r>
            <w:r>
              <w:rPr>
                <w:color w:val="231F20"/>
                <w:sz w:val="20"/>
              </w:rPr>
              <w:t>external</w:t>
            </w:r>
            <w:r>
              <w:rPr>
                <w:color w:val="231F20"/>
                <w:spacing w:val="34"/>
                <w:sz w:val="20"/>
              </w:rPr>
              <w:t> </w:t>
            </w:r>
            <w:r>
              <w:rPr>
                <w:color w:val="231F20"/>
                <w:sz w:val="20"/>
              </w:rPr>
              <w:t>credit</w:t>
            </w:r>
            <w:r>
              <w:rPr>
                <w:color w:val="231F20"/>
                <w:spacing w:val="33"/>
                <w:sz w:val="20"/>
              </w:rPr>
              <w:t> </w:t>
            </w:r>
            <w:r>
              <w:rPr>
                <w:color w:val="231F20"/>
                <w:spacing w:val="-2"/>
                <w:sz w:val="20"/>
              </w:rPr>
              <w:t>rating</w:t>
            </w:r>
          </w:p>
        </w:tc>
        <w:tc>
          <w:tcPr>
            <w:tcW w:w="1732" w:type="dxa"/>
          </w:tcPr>
          <w:p>
            <w:pPr>
              <w:pStyle w:val="TableParagraph"/>
              <w:spacing w:before="0"/>
              <w:rPr>
                <w:sz w:val="20"/>
              </w:rPr>
            </w:pPr>
          </w:p>
        </w:tc>
        <w:tc>
          <w:tcPr>
            <w:tcW w:w="1657" w:type="dxa"/>
          </w:tcPr>
          <w:p>
            <w:pPr>
              <w:pStyle w:val="TableParagraph"/>
              <w:spacing w:before="0"/>
              <w:rPr>
                <w:sz w:val="20"/>
              </w:rPr>
            </w:pPr>
          </w:p>
        </w:tc>
      </w:tr>
    </w:tbl>
    <w:p>
      <w:pPr>
        <w:pStyle w:val="BodyText"/>
        <w:spacing w:before="102"/>
      </w:pPr>
    </w:p>
    <w:p>
      <w:pPr>
        <w:pStyle w:val="BodyText"/>
        <w:ind w:left="2410"/>
      </w:pPr>
      <w:r>
        <w:rPr>
          <w:color w:val="231F20"/>
        </w:rPr>
        <w:t>Upon</w:t>
      </w:r>
      <w:r>
        <w:rPr>
          <w:color w:val="231F20"/>
          <w:spacing w:val="36"/>
        </w:rPr>
        <w:t> </w:t>
      </w:r>
      <w:r>
        <w:rPr>
          <w:color w:val="231F20"/>
        </w:rPr>
        <w:t>verification,</w:t>
      </w:r>
      <w:r>
        <w:rPr>
          <w:color w:val="231F20"/>
          <w:spacing w:val="37"/>
        </w:rPr>
        <w:t> </w:t>
      </w:r>
      <w:r>
        <w:rPr>
          <w:color w:val="231F20"/>
        </w:rPr>
        <w:t>Langfang</w:t>
      </w:r>
      <w:r>
        <w:rPr>
          <w:color w:val="231F20"/>
          <w:spacing w:val="38"/>
        </w:rPr>
        <w:t> </w:t>
      </w:r>
      <w:r>
        <w:rPr>
          <w:color w:val="231F20"/>
        </w:rPr>
        <w:t>Jihong</w:t>
      </w:r>
      <w:r>
        <w:rPr>
          <w:color w:val="231F20"/>
          <w:spacing w:val="37"/>
        </w:rPr>
        <w:t> </w:t>
      </w:r>
      <w:r>
        <w:rPr>
          <w:color w:val="231F20"/>
        </w:rPr>
        <w:t>is</w:t>
      </w:r>
      <w:r>
        <w:rPr>
          <w:color w:val="231F20"/>
          <w:spacing w:val="37"/>
        </w:rPr>
        <w:t> </w:t>
      </w:r>
      <w:r>
        <w:rPr>
          <w:color w:val="231F20"/>
        </w:rPr>
        <w:t>not</w:t>
      </w:r>
      <w:r>
        <w:rPr>
          <w:color w:val="231F20"/>
          <w:spacing w:val="38"/>
        </w:rPr>
        <w:t> </w:t>
      </w:r>
      <w:r>
        <w:rPr>
          <w:color w:val="231F20"/>
        </w:rPr>
        <w:t>an</w:t>
      </w:r>
      <w:r>
        <w:rPr>
          <w:color w:val="231F20"/>
          <w:spacing w:val="37"/>
        </w:rPr>
        <w:t> </w:t>
      </w:r>
      <w:r>
        <w:rPr>
          <w:color w:val="231F20"/>
        </w:rPr>
        <w:t>untrustworthy</w:t>
      </w:r>
      <w:r>
        <w:rPr>
          <w:color w:val="231F20"/>
          <w:spacing w:val="37"/>
        </w:rPr>
        <w:t> </w:t>
      </w:r>
      <w:r>
        <w:rPr>
          <w:color w:val="231F20"/>
        </w:rPr>
        <w:t>judgment</w:t>
      </w:r>
      <w:r>
        <w:rPr>
          <w:color w:val="231F20"/>
          <w:spacing w:val="38"/>
        </w:rPr>
        <w:t> </w:t>
      </w:r>
      <w:r>
        <w:rPr>
          <w:color w:val="231F20"/>
          <w:spacing w:val="-2"/>
        </w:rPr>
        <w:t>defaulter.</w:t>
      </w:r>
    </w:p>
    <w:p>
      <w:pPr>
        <w:pStyle w:val="BodyText"/>
        <w:spacing w:before="48"/>
      </w:pPr>
    </w:p>
    <w:p>
      <w:pPr>
        <w:pStyle w:val="Heading5"/>
        <w:numPr>
          <w:ilvl w:val="0"/>
          <w:numId w:val="8"/>
        </w:numPr>
        <w:tabs>
          <w:tab w:pos="1843" w:val="left" w:leader="none"/>
        </w:tabs>
        <w:spacing w:line="240" w:lineRule="auto" w:before="0" w:after="0"/>
        <w:ind w:left="1843" w:right="0" w:hanging="567"/>
        <w:jc w:val="left"/>
        <w:rPr>
          <w:i/>
        </w:rPr>
      </w:pPr>
      <w:r>
        <w:rPr>
          <w:i/>
          <w:color w:val="231F20"/>
        </w:rPr>
        <w:t>Anhui</w:t>
      </w:r>
      <w:r>
        <w:rPr>
          <w:i/>
          <w:color w:val="231F20"/>
          <w:spacing w:val="53"/>
        </w:rPr>
        <w:t> </w:t>
      </w:r>
      <w:r>
        <w:rPr>
          <w:i/>
          <w:color w:val="231F20"/>
        </w:rPr>
        <w:t>Jihong</w:t>
      </w:r>
      <w:r>
        <w:rPr>
          <w:i/>
          <w:color w:val="231F20"/>
          <w:spacing w:val="53"/>
        </w:rPr>
        <w:t> </w:t>
      </w:r>
      <w:r>
        <w:rPr>
          <w:i/>
          <w:color w:val="231F20"/>
        </w:rPr>
        <w:t>EP</w:t>
      </w:r>
      <w:r>
        <w:rPr>
          <w:i/>
          <w:color w:val="231F20"/>
          <w:spacing w:val="54"/>
        </w:rPr>
        <w:t> </w:t>
      </w:r>
      <w:r>
        <w:rPr>
          <w:i/>
          <w:color w:val="231F20"/>
        </w:rPr>
        <w:t>Paper</w:t>
      </w:r>
      <w:r>
        <w:rPr>
          <w:i/>
          <w:color w:val="231F20"/>
          <w:spacing w:val="53"/>
        </w:rPr>
        <w:t> </w:t>
      </w:r>
      <w:r>
        <w:rPr>
          <w:i/>
          <w:color w:val="231F20"/>
        </w:rPr>
        <w:t>Products</w:t>
      </w:r>
      <w:r>
        <w:rPr>
          <w:i/>
          <w:color w:val="231F20"/>
          <w:spacing w:val="54"/>
        </w:rPr>
        <w:t> </w:t>
      </w:r>
      <w:r>
        <w:rPr>
          <w:i/>
          <w:color w:val="231F20"/>
        </w:rPr>
        <w:t>Co.</w:t>
      </w:r>
      <w:r>
        <w:rPr>
          <w:i/>
          <w:color w:val="231F20"/>
          <w:spacing w:val="26"/>
        </w:rPr>
        <w:t>, </w:t>
      </w:r>
      <w:r>
        <w:rPr>
          <w:i/>
          <w:color w:val="231F20"/>
        </w:rPr>
        <w:t>Ltd.*</w:t>
      </w:r>
      <w:r>
        <w:rPr>
          <w:i/>
          <w:color w:val="231F20"/>
          <w:spacing w:val="27"/>
        </w:rPr>
        <w:t> (</w:t>
      </w:r>
      <w:r>
        <w:rPr>
          <w:rFonts w:ascii="Microsoft YaHei" w:eastAsia="Microsoft YaHei"/>
          <w:color w:val="231F20"/>
        </w:rPr>
        <w:t>安徽吉宏環保紙品有限公司</w:t>
      </w:r>
      <w:r>
        <w:rPr>
          <w:i/>
          <w:color w:val="231F20"/>
          <w:spacing w:val="-10"/>
        </w:rPr>
        <w:t>)</w:t>
      </w:r>
    </w:p>
    <w:p>
      <w:pPr>
        <w:pStyle w:val="BodyText"/>
        <w:spacing w:before="39"/>
        <w:rPr>
          <w:b/>
          <w:i/>
        </w:rPr>
      </w:pPr>
    </w:p>
    <w:p>
      <w:pPr>
        <w:pStyle w:val="ListParagraph"/>
        <w:numPr>
          <w:ilvl w:val="1"/>
          <w:numId w:val="8"/>
        </w:numPr>
        <w:tabs>
          <w:tab w:pos="2410" w:val="left" w:leader="none"/>
        </w:tabs>
        <w:spacing w:line="252" w:lineRule="auto" w:before="0" w:after="0"/>
        <w:ind w:left="2410" w:right="134" w:hanging="567"/>
        <w:jc w:val="both"/>
        <w:rPr>
          <w:sz w:val="20"/>
        </w:rPr>
      </w:pPr>
      <w:r>
        <w:rPr>
          <w:color w:val="231F20"/>
          <w:sz w:val="20"/>
        </w:rPr>
        <w:t>Company</w:t>
      </w:r>
      <w:r>
        <w:rPr>
          <w:color w:val="231F20"/>
          <w:spacing w:val="23"/>
          <w:sz w:val="20"/>
        </w:rPr>
        <w:t> </w:t>
      </w:r>
      <w:r>
        <w:rPr>
          <w:color w:val="231F20"/>
          <w:sz w:val="20"/>
        </w:rPr>
        <w:t>name</w:t>
      </w:r>
      <w:r>
        <w:rPr>
          <w:color w:val="231F20"/>
          <w:spacing w:val="11"/>
          <w:sz w:val="20"/>
        </w:rPr>
        <w:t>: </w:t>
      </w:r>
      <w:r>
        <w:rPr>
          <w:color w:val="231F20"/>
          <w:sz w:val="20"/>
        </w:rPr>
        <w:t>Anhui</w:t>
      </w:r>
      <w:r>
        <w:rPr>
          <w:color w:val="231F20"/>
          <w:spacing w:val="23"/>
          <w:sz w:val="20"/>
        </w:rPr>
        <w:t> </w:t>
      </w:r>
      <w:r>
        <w:rPr>
          <w:color w:val="231F20"/>
          <w:sz w:val="20"/>
        </w:rPr>
        <w:t>Jihong</w:t>
      </w:r>
      <w:r>
        <w:rPr>
          <w:color w:val="231F20"/>
          <w:spacing w:val="23"/>
          <w:sz w:val="20"/>
        </w:rPr>
        <w:t> </w:t>
      </w:r>
      <w:r>
        <w:rPr>
          <w:color w:val="231F20"/>
          <w:sz w:val="20"/>
        </w:rPr>
        <w:t>EP</w:t>
      </w:r>
      <w:r>
        <w:rPr>
          <w:color w:val="231F20"/>
          <w:spacing w:val="23"/>
          <w:sz w:val="20"/>
        </w:rPr>
        <w:t> </w:t>
      </w:r>
      <w:r>
        <w:rPr>
          <w:color w:val="231F20"/>
          <w:sz w:val="20"/>
        </w:rPr>
        <w:t>Paper</w:t>
      </w:r>
      <w:r>
        <w:rPr>
          <w:color w:val="231F20"/>
          <w:spacing w:val="23"/>
          <w:sz w:val="20"/>
        </w:rPr>
        <w:t> </w:t>
      </w:r>
      <w:r>
        <w:rPr>
          <w:color w:val="231F20"/>
          <w:sz w:val="20"/>
        </w:rPr>
        <w:t>Products</w:t>
      </w:r>
      <w:r>
        <w:rPr>
          <w:color w:val="231F20"/>
          <w:spacing w:val="23"/>
          <w:sz w:val="20"/>
        </w:rPr>
        <w:t> </w:t>
      </w:r>
      <w:r>
        <w:rPr>
          <w:color w:val="231F20"/>
          <w:sz w:val="20"/>
        </w:rPr>
        <w:t>Co.</w:t>
      </w:r>
      <w:r>
        <w:rPr>
          <w:color w:val="231F20"/>
          <w:spacing w:val="11"/>
          <w:sz w:val="20"/>
        </w:rPr>
        <w:t>, </w:t>
      </w:r>
      <w:r>
        <w:rPr>
          <w:color w:val="231F20"/>
          <w:sz w:val="20"/>
        </w:rPr>
        <w:t>Ltd.*</w:t>
      </w:r>
      <w:r>
        <w:rPr>
          <w:color w:val="231F20"/>
          <w:spacing w:val="11"/>
          <w:sz w:val="20"/>
        </w:rPr>
        <w:t> (</w:t>
      </w:r>
      <w:r>
        <w:rPr>
          <w:rFonts w:ascii="新細明體" w:eastAsia="新細明體"/>
          <w:color w:val="231F20"/>
          <w:sz w:val="20"/>
        </w:rPr>
        <w:t>安徽吉宏環保紙品</w:t>
      </w:r>
      <w:r>
        <w:rPr>
          <w:rFonts w:ascii="新細明體" w:eastAsia="新細明體"/>
          <w:color w:val="231F20"/>
          <w:spacing w:val="-2"/>
          <w:sz w:val="20"/>
        </w:rPr>
        <w:t>有限公司</w:t>
      </w:r>
      <w:r>
        <w:rPr>
          <w:color w:val="231F20"/>
          <w:spacing w:val="-2"/>
          <w:sz w:val="20"/>
        </w:rPr>
        <w:t>)</w:t>
      </w:r>
    </w:p>
    <w:p>
      <w:pPr>
        <w:pStyle w:val="BodyText"/>
        <w:spacing w:before="51"/>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Date</w:t>
      </w:r>
      <w:r>
        <w:rPr>
          <w:color w:val="231F20"/>
          <w:spacing w:val="33"/>
          <w:sz w:val="20"/>
        </w:rPr>
        <w:t> </w:t>
      </w:r>
      <w:r>
        <w:rPr>
          <w:color w:val="231F20"/>
          <w:sz w:val="20"/>
        </w:rPr>
        <w:t>of</w:t>
      </w:r>
      <w:r>
        <w:rPr>
          <w:color w:val="231F20"/>
          <w:spacing w:val="33"/>
          <w:sz w:val="20"/>
        </w:rPr>
        <w:t> </w:t>
      </w:r>
      <w:r>
        <w:rPr>
          <w:color w:val="231F20"/>
          <w:sz w:val="20"/>
        </w:rPr>
        <w:t>establishment:</w:t>
      </w:r>
      <w:r>
        <w:rPr>
          <w:color w:val="231F20"/>
          <w:spacing w:val="33"/>
          <w:sz w:val="20"/>
        </w:rPr>
        <w:t> </w:t>
      </w:r>
      <w:r>
        <w:rPr>
          <w:color w:val="231F20"/>
          <w:sz w:val="20"/>
        </w:rPr>
        <w:t>August</w:t>
      </w:r>
      <w:r>
        <w:rPr>
          <w:color w:val="231F20"/>
          <w:spacing w:val="33"/>
          <w:sz w:val="20"/>
        </w:rPr>
        <w:t> </w:t>
      </w:r>
      <w:r>
        <w:rPr>
          <w:color w:val="231F20"/>
          <w:sz w:val="20"/>
        </w:rPr>
        <w:t>7,</w:t>
      </w:r>
      <w:r>
        <w:rPr>
          <w:color w:val="231F20"/>
          <w:spacing w:val="33"/>
          <w:sz w:val="20"/>
        </w:rPr>
        <w:t> </w:t>
      </w:r>
      <w:r>
        <w:rPr>
          <w:color w:val="231F20"/>
          <w:spacing w:val="-4"/>
          <w:sz w:val="20"/>
        </w:rPr>
        <w:t>2009</w:t>
      </w:r>
    </w:p>
    <w:p>
      <w:pPr>
        <w:pStyle w:val="BodyText"/>
        <w:spacing w:before="100"/>
      </w:pPr>
    </w:p>
    <w:p>
      <w:pPr>
        <w:pStyle w:val="ListParagraph"/>
        <w:numPr>
          <w:ilvl w:val="1"/>
          <w:numId w:val="8"/>
        </w:numPr>
        <w:tabs>
          <w:tab w:pos="2410" w:val="left" w:leader="none"/>
        </w:tabs>
        <w:spacing w:line="292" w:lineRule="auto" w:before="0" w:after="0"/>
        <w:ind w:left="2410" w:right="130" w:hanging="567"/>
        <w:jc w:val="both"/>
        <w:rPr>
          <w:sz w:val="20"/>
        </w:rPr>
      </w:pPr>
      <w:r>
        <w:rPr>
          <w:color w:val="231F20"/>
          <w:sz w:val="20"/>
        </w:rPr>
        <w:t>Place of registration: No. 33 Ruquan Avenue, Economic Development Zone, Huaiyuan</w:t>
      </w:r>
      <w:r>
        <w:rPr>
          <w:color w:val="231F20"/>
          <w:spacing w:val="40"/>
          <w:sz w:val="20"/>
        </w:rPr>
        <w:t> </w:t>
      </w:r>
      <w:r>
        <w:rPr>
          <w:color w:val="231F20"/>
          <w:sz w:val="20"/>
        </w:rPr>
        <w:t>County,</w:t>
      </w:r>
      <w:r>
        <w:rPr>
          <w:color w:val="231F20"/>
          <w:spacing w:val="40"/>
          <w:sz w:val="20"/>
        </w:rPr>
        <w:t> </w:t>
      </w:r>
      <w:r>
        <w:rPr>
          <w:color w:val="231F20"/>
          <w:sz w:val="20"/>
        </w:rPr>
        <w:t>Bengbu</w:t>
      </w:r>
      <w:r>
        <w:rPr>
          <w:color w:val="231F20"/>
          <w:spacing w:val="40"/>
          <w:sz w:val="20"/>
        </w:rPr>
        <w:t> </w:t>
      </w:r>
      <w:r>
        <w:rPr>
          <w:color w:val="231F20"/>
          <w:sz w:val="20"/>
        </w:rPr>
        <w:t>City,</w:t>
      </w:r>
      <w:r>
        <w:rPr>
          <w:color w:val="231F20"/>
          <w:spacing w:val="40"/>
          <w:sz w:val="20"/>
        </w:rPr>
        <w:t> </w:t>
      </w:r>
      <w:r>
        <w:rPr>
          <w:color w:val="231F20"/>
          <w:sz w:val="20"/>
        </w:rPr>
        <w:t>Anhui</w:t>
      </w:r>
      <w:r>
        <w:rPr>
          <w:color w:val="231F20"/>
          <w:spacing w:val="40"/>
          <w:sz w:val="20"/>
        </w:rPr>
        <w:t> </w:t>
      </w:r>
      <w:r>
        <w:rPr>
          <w:color w:val="231F20"/>
          <w:sz w:val="20"/>
        </w:rPr>
        <w:t>Province</w:t>
      </w:r>
    </w:p>
    <w:p>
      <w:pPr>
        <w:pStyle w:val="BodyText"/>
        <w:spacing w:before="49"/>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Registered</w:t>
      </w:r>
      <w:r>
        <w:rPr>
          <w:color w:val="231F20"/>
          <w:spacing w:val="43"/>
          <w:sz w:val="20"/>
        </w:rPr>
        <w:t> </w:t>
      </w:r>
      <w:r>
        <w:rPr>
          <w:color w:val="231F20"/>
          <w:sz w:val="20"/>
        </w:rPr>
        <w:t>capital:</w:t>
      </w:r>
      <w:r>
        <w:rPr>
          <w:color w:val="231F20"/>
          <w:spacing w:val="43"/>
          <w:sz w:val="20"/>
        </w:rPr>
        <w:t> </w:t>
      </w:r>
      <w:r>
        <w:rPr>
          <w:color w:val="231F20"/>
          <w:sz w:val="20"/>
        </w:rPr>
        <w:t>RMB50</w:t>
      </w:r>
      <w:r>
        <w:rPr>
          <w:color w:val="231F20"/>
          <w:spacing w:val="44"/>
          <w:sz w:val="20"/>
        </w:rPr>
        <w:t> </w:t>
      </w:r>
      <w:r>
        <w:rPr>
          <w:color w:val="231F20"/>
          <w:spacing w:val="-2"/>
          <w:sz w:val="20"/>
        </w:rPr>
        <w:t>million</w:t>
      </w:r>
    </w:p>
    <w:p>
      <w:pPr>
        <w:pStyle w:val="BodyText"/>
        <w:spacing w:before="100"/>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Legal</w:t>
      </w:r>
      <w:r>
        <w:rPr>
          <w:color w:val="231F20"/>
          <w:spacing w:val="41"/>
          <w:sz w:val="20"/>
        </w:rPr>
        <w:t> </w:t>
      </w:r>
      <w:r>
        <w:rPr>
          <w:color w:val="231F20"/>
          <w:sz w:val="20"/>
        </w:rPr>
        <w:t>representative:</w:t>
      </w:r>
      <w:r>
        <w:rPr>
          <w:color w:val="231F20"/>
          <w:spacing w:val="42"/>
          <w:sz w:val="20"/>
        </w:rPr>
        <w:t> </w:t>
      </w:r>
      <w:r>
        <w:rPr>
          <w:color w:val="231F20"/>
          <w:sz w:val="20"/>
        </w:rPr>
        <w:t>Li</w:t>
      </w:r>
      <w:r>
        <w:rPr>
          <w:color w:val="231F20"/>
          <w:spacing w:val="42"/>
          <w:sz w:val="20"/>
        </w:rPr>
        <w:t> </w:t>
      </w:r>
      <w:r>
        <w:rPr>
          <w:color w:val="231F20"/>
          <w:spacing w:val="-2"/>
          <w:sz w:val="20"/>
        </w:rPr>
        <w:t>Tiejun</w:t>
      </w:r>
    </w:p>
    <w:p>
      <w:pPr>
        <w:pStyle w:val="BodyText"/>
        <w:spacing w:before="100"/>
      </w:pPr>
    </w:p>
    <w:p>
      <w:pPr>
        <w:pStyle w:val="ListParagraph"/>
        <w:numPr>
          <w:ilvl w:val="1"/>
          <w:numId w:val="8"/>
        </w:numPr>
        <w:tabs>
          <w:tab w:pos="2410" w:val="left" w:leader="none"/>
        </w:tabs>
        <w:spacing w:line="292" w:lineRule="auto" w:before="0" w:after="0"/>
        <w:ind w:left="2410" w:right="134" w:hanging="567"/>
        <w:jc w:val="both"/>
        <w:rPr>
          <w:sz w:val="20"/>
        </w:rPr>
      </w:pPr>
      <w:r>
        <w:rPr>
          <w:color w:val="231F20"/>
          <w:sz w:val="20"/>
        </w:rPr>
        <w:t>Scope of business: research and development of environmentally friendly </w:t>
      </w:r>
      <w:r>
        <w:rPr>
          <w:color w:val="231F20"/>
          <w:sz w:val="20"/>
        </w:rPr>
        <w:t>paper containers; production and sales of paper containers and related paper products; wholesale of plastic products; printing and sales of packaging and decoration</w:t>
      </w:r>
      <w:r>
        <w:rPr>
          <w:color w:val="231F20"/>
          <w:spacing w:val="80"/>
          <w:sz w:val="20"/>
        </w:rPr>
        <w:t> </w:t>
      </w:r>
      <w:r>
        <w:rPr>
          <w:color w:val="231F20"/>
          <w:sz w:val="20"/>
        </w:rPr>
        <w:t>printed</w:t>
      </w:r>
      <w:r>
        <w:rPr>
          <w:color w:val="231F20"/>
          <w:spacing w:val="40"/>
          <w:sz w:val="20"/>
        </w:rPr>
        <w:t> </w:t>
      </w:r>
      <w:r>
        <w:rPr>
          <w:color w:val="231F20"/>
          <w:sz w:val="20"/>
        </w:rPr>
        <w:t>materials.</w:t>
      </w:r>
      <w:r>
        <w:rPr>
          <w:color w:val="231F20"/>
          <w:spacing w:val="40"/>
          <w:sz w:val="20"/>
        </w:rPr>
        <w:t> </w:t>
      </w:r>
      <w:r>
        <w:rPr>
          <w:color w:val="231F20"/>
          <w:sz w:val="20"/>
        </w:rPr>
        <w:t>(Business</w:t>
      </w:r>
      <w:r>
        <w:rPr>
          <w:color w:val="231F20"/>
          <w:spacing w:val="40"/>
          <w:sz w:val="20"/>
        </w:rPr>
        <w:t> </w:t>
      </w:r>
      <w:r>
        <w:rPr>
          <w:color w:val="231F20"/>
          <w:sz w:val="20"/>
        </w:rPr>
        <w:t>activities</w:t>
      </w:r>
      <w:r>
        <w:rPr>
          <w:color w:val="231F20"/>
          <w:spacing w:val="40"/>
          <w:sz w:val="20"/>
        </w:rPr>
        <w:t> </w:t>
      </w:r>
      <w:r>
        <w:rPr>
          <w:color w:val="231F20"/>
          <w:sz w:val="20"/>
        </w:rPr>
        <w:t>subject</w:t>
      </w:r>
      <w:r>
        <w:rPr>
          <w:color w:val="231F20"/>
          <w:spacing w:val="40"/>
          <w:sz w:val="20"/>
        </w:rPr>
        <w:t> </w:t>
      </w:r>
      <w:r>
        <w:rPr>
          <w:color w:val="231F20"/>
          <w:sz w:val="20"/>
        </w:rPr>
        <w:t>to</w:t>
      </w:r>
      <w:r>
        <w:rPr>
          <w:color w:val="231F20"/>
          <w:spacing w:val="40"/>
          <w:sz w:val="20"/>
        </w:rPr>
        <w:t> </w:t>
      </w:r>
      <w:r>
        <w:rPr>
          <w:color w:val="231F20"/>
          <w:sz w:val="20"/>
        </w:rPr>
        <w:t>approval</w:t>
      </w:r>
      <w:r>
        <w:rPr>
          <w:color w:val="231F20"/>
          <w:spacing w:val="40"/>
          <w:sz w:val="20"/>
        </w:rPr>
        <w:t> </w:t>
      </w:r>
      <w:r>
        <w:rPr>
          <w:color w:val="231F20"/>
          <w:sz w:val="20"/>
        </w:rPr>
        <w:t>according</w:t>
      </w:r>
      <w:r>
        <w:rPr>
          <w:color w:val="231F20"/>
          <w:spacing w:val="40"/>
          <w:sz w:val="20"/>
        </w:rPr>
        <w:t> </w:t>
      </w:r>
      <w:r>
        <w:rPr>
          <w:color w:val="231F20"/>
          <w:sz w:val="20"/>
        </w:rPr>
        <w:t>to</w:t>
      </w:r>
      <w:r>
        <w:rPr>
          <w:color w:val="231F20"/>
          <w:spacing w:val="40"/>
          <w:sz w:val="20"/>
        </w:rPr>
        <w:t> </w:t>
      </w:r>
      <w:r>
        <w:rPr>
          <w:color w:val="231F20"/>
          <w:sz w:val="20"/>
        </w:rPr>
        <w:t>law</w:t>
      </w:r>
      <w:r>
        <w:rPr>
          <w:color w:val="231F20"/>
          <w:spacing w:val="40"/>
          <w:sz w:val="20"/>
        </w:rPr>
        <w:t> </w:t>
      </w:r>
      <w:r>
        <w:rPr>
          <w:color w:val="231F20"/>
          <w:sz w:val="20"/>
        </w:rPr>
        <w:t>may be carried out only after approval by relevant departments). (The company was a foreign</w:t>
      </w:r>
      <w:r>
        <w:rPr>
          <w:color w:val="231F20"/>
          <w:spacing w:val="40"/>
          <w:sz w:val="20"/>
        </w:rPr>
        <w:t> </w:t>
      </w:r>
      <w:r>
        <w:rPr>
          <w:color w:val="231F20"/>
          <w:sz w:val="20"/>
        </w:rPr>
        <w:t>enterprise</w:t>
      </w:r>
      <w:r>
        <w:rPr>
          <w:color w:val="231F20"/>
          <w:spacing w:val="40"/>
          <w:sz w:val="20"/>
        </w:rPr>
        <w:t> </w:t>
      </w:r>
      <w:r>
        <w:rPr>
          <w:color w:val="231F20"/>
          <w:sz w:val="20"/>
        </w:rPr>
        <w:t>from</w:t>
      </w:r>
      <w:r>
        <w:rPr>
          <w:color w:val="231F20"/>
          <w:spacing w:val="40"/>
          <w:sz w:val="20"/>
        </w:rPr>
        <w:t> </w:t>
      </w:r>
      <w:r>
        <w:rPr>
          <w:color w:val="231F20"/>
          <w:sz w:val="20"/>
        </w:rPr>
        <w:t>1</w:t>
      </w:r>
      <w:r>
        <w:rPr>
          <w:color w:val="231F20"/>
          <w:spacing w:val="40"/>
          <w:sz w:val="20"/>
        </w:rPr>
        <w:t> </w:t>
      </w:r>
      <w:r>
        <w:rPr>
          <w:color w:val="231F20"/>
          <w:sz w:val="20"/>
        </w:rPr>
        <w:t>September</w:t>
      </w:r>
      <w:r>
        <w:rPr>
          <w:color w:val="231F20"/>
          <w:spacing w:val="40"/>
          <w:sz w:val="20"/>
        </w:rPr>
        <w:t> </w:t>
      </w:r>
      <w:r>
        <w:rPr>
          <w:color w:val="231F20"/>
          <w:sz w:val="20"/>
        </w:rPr>
        <w:t>2015</w:t>
      </w:r>
      <w:r>
        <w:rPr>
          <w:color w:val="231F20"/>
          <w:spacing w:val="40"/>
          <w:sz w:val="20"/>
        </w:rPr>
        <w:t> </w:t>
      </w:r>
      <w:r>
        <w:rPr>
          <w:color w:val="231F20"/>
          <w:sz w:val="20"/>
        </w:rPr>
        <w:t>to</w:t>
      </w:r>
      <w:r>
        <w:rPr>
          <w:color w:val="231F20"/>
          <w:spacing w:val="40"/>
          <w:sz w:val="20"/>
        </w:rPr>
        <w:t> </w:t>
      </w:r>
      <w:r>
        <w:rPr>
          <w:color w:val="231F20"/>
          <w:sz w:val="20"/>
        </w:rPr>
        <w:t>3</w:t>
      </w:r>
      <w:r>
        <w:rPr>
          <w:color w:val="231F20"/>
          <w:spacing w:val="40"/>
          <w:sz w:val="20"/>
        </w:rPr>
        <w:t> </w:t>
      </w:r>
      <w:r>
        <w:rPr>
          <w:color w:val="231F20"/>
          <w:sz w:val="20"/>
        </w:rPr>
        <w:t>January</w:t>
      </w:r>
      <w:r>
        <w:rPr>
          <w:color w:val="231F20"/>
          <w:spacing w:val="40"/>
          <w:sz w:val="20"/>
        </w:rPr>
        <w:t> </w:t>
      </w:r>
      <w:r>
        <w:rPr>
          <w:color w:val="231F20"/>
          <w:sz w:val="20"/>
        </w:rPr>
        <w:t>2018).</w:t>
      </w:r>
    </w:p>
    <w:p>
      <w:pPr>
        <w:pStyle w:val="ListParagraph"/>
        <w:spacing w:after="0" w:line="292" w:lineRule="auto"/>
        <w:jc w:val="both"/>
        <w:rPr>
          <w:sz w:val="20"/>
        </w:rPr>
        <w:sectPr>
          <w:pgSz w:w="11910" w:h="15880"/>
          <w:pgMar w:header="567" w:footer="573" w:top="1300" w:bottom="760" w:left="1275" w:right="1275"/>
        </w:sectPr>
      </w:pPr>
    </w:p>
    <w:p>
      <w:pPr>
        <w:pStyle w:val="BodyText"/>
        <w:spacing w:before="144"/>
      </w:pPr>
    </w:p>
    <w:p>
      <w:pPr>
        <w:pStyle w:val="ListParagraph"/>
        <w:numPr>
          <w:ilvl w:val="1"/>
          <w:numId w:val="8"/>
        </w:numPr>
        <w:tabs>
          <w:tab w:pos="2410" w:val="left" w:leader="none"/>
        </w:tabs>
        <w:spacing w:line="292" w:lineRule="auto" w:before="1" w:after="0"/>
        <w:ind w:left="2410" w:right="135" w:hanging="567"/>
        <w:jc w:val="left"/>
        <w:rPr>
          <w:sz w:val="20"/>
        </w:rPr>
      </w:pPr>
      <w:r>
        <w:rPr>
          <w:color w:val="231F20"/>
          <w:sz w:val="20"/>
        </w:rPr>
        <w:t>Related</w:t>
      </w:r>
      <w:r>
        <w:rPr>
          <w:color w:val="231F20"/>
          <w:spacing w:val="40"/>
          <w:sz w:val="20"/>
        </w:rPr>
        <w:t> </w:t>
      </w:r>
      <w:r>
        <w:rPr>
          <w:color w:val="231F20"/>
          <w:sz w:val="20"/>
        </w:rPr>
        <w:t>party</w:t>
      </w:r>
      <w:r>
        <w:rPr>
          <w:color w:val="231F20"/>
          <w:spacing w:val="40"/>
          <w:sz w:val="20"/>
        </w:rPr>
        <w:t> </w:t>
      </w:r>
      <w:r>
        <w:rPr>
          <w:color w:val="231F20"/>
          <w:sz w:val="20"/>
        </w:rPr>
        <w:t>relationship</w:t>
      </w:r>
      <w:r>
        <w:rPr>
          <w:color w:val="231F20"/>
          <w:spacing w:val="40"/>
          <w:sz w:val="20"/>
        </w:rPr>
        <w:t> </w:t>
      </w:r>
      <w:r>
        <w:rPr>
          <w:color w:val="231F20"/>
          <w:sz w:val="20"/>
        </w:rPr>
        <w:t>or</w:t>
      </w:r>
      <w:r>
        <w:rPr>
          <w:color w:val="231F20"/>
          <w:spacing w:val="40"/>
          <w:sz w:val="20"/>
        </w:rPr>
        <w:t> </w:t>
      </w:r>
      <w:r>
        <w:rPr>
          <w:color w:val="231F20"/>
          <w:sz w:val="20"/>
        </w:rPr>
        <w:t>business</w:t>
      </w:r>
      <w:r>
        <w:rPr>
          <w:color w:val="231F20"/>
          <w:spacing w:val="40"/>
          <w:sz w:val="20"/>
        </w:rPr>
        <w:t> </w:t>
      </w:r>
      <w:r>
        <w:rPr>
          <w:color w:val="231F20"/>
          <w:sz w:val="20"/>
        </w:rPr>
        <w:t>association</w:t>
      </w:r>
      <w:r>
        <w:rPr>
          <w:color w:val="231F20"/>
          <w:spacing w:val="40"/>
          <w:sz w:val="20"/>
        </w:rPr>
        <w:t> </w:t>
      </w:r>
      <w:r>
        <w:rPr>
          <w:color w:val="231F20"/>
          <w:sz w:val="20"/>
        </w:rPr>
        <w:t>with</w:t>
      </w:r>
      <w:r>
        <w:rPr>
          <w:color w:val="231F20"/>
          <w:spacing w:val="40"/>
          <w:sz w:val="20"/>
        </w:rPr>
        <w:t> </w:t>
      </w:r>
      <w:r>
        <w:rPr>
          <w:color w:val="231F20"/>
          <w:sz w:val="20"/>
        </w:rPr>
        <w:t>the</w:t>
      </w:r>
      <w:r>
        <w:rPr>
          <w:color w:val="231F20"/>
          <w:spacing w:val="40"/>
          <w:sz w:val="20"/>
        </w:rPr>
        <w:t> </w:t>
      </w:r>
      <w:r>
        <w:rPr>
          <w:color w:val="231F20"/>
          <w:sz w:val="20"/>
        </w:rPr>
        <w:t>Company:</w:t>
      </w:r>
      <w:r>
        <w:rPr>
          <w:color w:val="231F20"/>
          <w:spacing w:val="40"/>
          <w:sz w:val="20"/>
        </w:rPr>
        <w:t> </w:t>
      </w:r>
      <w:r>
        <w:rPr>
          <w:color w:val="231F20"/>
          <w:sz w:val="20"/>
        </w:rPr>
        <w:t>a</w:t>
      </w:r>
      <w:r>
        <w:rPr>
          <w:color w:val="231F20"/>
          <w:spacing w:val="40"/>
          <w:sz w:val="20"/>
        </w:rPr>
        <w:t> </w:t>
      </w:r>
      <w:r>
        <w:rPr>
          <w:color w:val="231F20"/>
          <w:sz w:val="20"/>
        </w:rPr>
        <w:t>wholly- owned subsidiary of the Company</w:t>
      </w:r>
    </w:p>
    <w:p>
      <w:pPr>
        <w:pStyle w:val="BodyText"/>
        <w:spacing w:before="48"/>
      </w:pPr>
    </w:p>
    <w:p>
      <w:pPr>
        <w:pStyle w:val="ListParagraph"/>
        <w:numPr>
          <w:ilvl w:val="1"/>
          <w:numId w:val="8"/>
        </w:numPr>
        <w:tabs>
          <w:tab w:pos="2409" w:val="left" w:leader="none"/>
        </w:tabs>
        <w:spacing w:line="240" w:lineRule="auto" w:before="1" w:after="0"/>
        <w:ind w:left="2409" w:right="0" w:hanging="566"/>
        <w:jc w:val="left"/>
        <w:rPr>
          <w:sz w:val="20"/>
        </w:rPr>
      </w:pPr>
      <w:r>
        <w:rPr>
          <w:color w:val="231F20"/>
          <w:sz w:val="20"/>
        </w:rPr>
        <w:t>Key</w:t>
      </w:r>
      <w:r>
        <w:rPr>
          <w:color w:val="231F20"/>
          <w:spacing w:val="29"/>
          <w:sz w:val="20"/>
        </w:rPr>
        <w:t> </w:t>
      </w:r>
      <w:r>
        <w:rPr>
          <w:color w:val="231F20"/>
          <w:sz w:val="20"/>
        </w:rPr>
        <w:t>financial</w:t>
      </w:r>
      <w:r>
        <w:rPr>
          <w:color w:val="231F20"/>
          <w:spacing w:val="30"/>
          <w:sz w:val="20"/>
        </w:rPr>
        <w:t> </w:t>
      </w:r>
      <w:r>
        <w:rPr>
          <w:color w:val="231F20"/>
          <w:sz w:val="20"/>
        </w:rPr>
        <w:t>data</w:t>
      </w:r>
      <w:r>
        <w:rPr>
          <w:color w:val="231F20"/>
          <w:spacing w:val="30"/>
          <w:sz w:val="20"/>
        </w:rPr>
        <w:t> </w:t>
      </w:r>
      <w:r>
        <w:rPr>
          <w:color w:val="231F20"/>
          <w:sz w:val="20"/>
        </w:rPr>
        <w:t>for</w:t>
      </w:r>
      <w:r>
        <w:rPr>
          <w:color w:val="231F20"/>
          <w:spacing w:val="29"/>
          <w:sz w:val="20"/>
        </w:rPr>
        <w:t> </w:t>
      </w:r>
      <w:r>
        <w:rPr>
          <w:color w:val="231F20"/>
          <w:sz w:val="20"/>
        </w:rPr>
        <w:t>the</w:t>
      </w:r>
      <w:r>
        <w:rPr>
          <w:color w:val="231F20"/>
          <w:spacing w:val="30"/>
          <w:sz w:val="20"/>
        </w:rPr>
        <w:t> </w:t>
      </w:r>
      <w:r>
        <w:rPr>
          <w:color w:val="231F20"/>
          <w:sz w:val="20"/>
        </w:rPr>
        <w:t>latest</w:t>
      </w:r>
      <w:r>
        <w:rPr>
          <w:color w:val="231F20"/>
          <w:spacing w:val="30"/>
          <w:sz w:val="20"/>
        </w:rPr>
        <w:t> </w:t>
      </w:r>
      <w:r>
        <w:rPr>
          <w:color w:val="231F20"/>
          <w:sz w:val="20"/>
        </w:rPr>
        <w:t>financial</w:t>
      </w:r>
      <w:r>
        <w:rPr>
          <w:color w:val="231F20"/>
          <w:spacing w:val="29"/>
          <w:sz w:val="20"/>
        </w:rPr>
        <w:t> </w:t>
      </w:r>
      <w:r>
        <w:rPr>
          <w:color w:val="231F20"/>
          <w:sz w:val="20"/>
        </w:rPr>
        <w:t>year</w:t>
      </w:r>
      <w:r>
        <w:rPr>
          <w:color w:val="231F20"/>
          <w:spacing w:val="30"/>
          <w:sz w:val="20"/>
        </w:rPr>
        <w:t> </w:t>
      </w:r>
      <w:r>
        <w:rPr>
          <w:color w:val="231F20"/>
          <w:sz w:val="20"/>
        </w:rPr>
        <w:t>and</w:t>
      </w:r>
      <w:r>
        <w:rPr>
          <w:color w:val="231F20"/>
          <w:spacing w:val="30"/>
          <w:sz w:val="20"/>
        </w:rPr>
        <w:t> </w:t>
      </w:r>
      <w:r>
        <w:rPr>
          <w:color w:val="231F20"/>
          <w:sz w:val="20"/>
        </w:rPr>
        <w:t>the</w:t>
      </w:r>
      <w:r>
        <w:rPr>
          <w:color w:val="231F20"/>
          <w:spacing w:val="29"/>
          <w:sz w:val="20"/>
        </w:rPr>
        <w:t> </w:t>
      </w:r>
      <w:r>
        <w:rPr>
          <w:color w:val="231F20"/>
          <w:sz w:val="20"/>
        </w:rPr>
        <w:t>subsequent</w:t>
      </w:r>
      <w:r>
        <w:rPr>
          <w:color w:val="231F20"/>
          <w:spacing w:val="30"/>
          <w:sz w:val="20"/>
        </w:rPr>
        <w:t> </w:t>
      </w:r>
      <w:r>
        <w:rPr>
          <w:color w:val="231F20"/>
          <w:sz w:val="20"/>
        </w:rPr>
        <w:t>interim</w:t>
      </w:r>
      <w:r>
        <w:rPr>
          <w:color w:val="231F20"/>
          <w:spacing w:val="30"/>
          <w:sz w:val="20"/>
        </w:rPr>
        <w:t> </w:t>
      </w:r>
      <w:r>
        <w:rPr>
          <w:color w:val="231F20"/>
          <w:spacing w:val="-2"/>
          <w:sz w:val="20"/>
        </w:rPr>
        <w:t>period</w:t>
      </w:r>
    </w:p>
    <w:p>
      <w:pPr>
        <w:pStyle w:val="BodyText"/>
        <w:spacing w:before="98"/>
      </w:pPr>
    </w:p>
    <w:tbl>
      <w:tblPr>
        <w:tblW w:w="0" w:type="auto"/>
        <w:jc w:val="left"/>
        <w:tblInd w:w="1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3"/>
        <w:gridCol w:w="3738"/>
        <w:gridCol w:w="1732"/>
        <w:gridCol w:w="1657"/>
      </w:tblGrid>
      <w:tr>
        <w:trPr>
          <w:trHeight w:val="255" w:hRule="atLeast"/>
        </w:trPr>
        <w:tc>
          <w:tcPr>
            <w:tcW w:w="413" w:type="dxa"/>
          </w:tcPr>
          <w:p>
            <w:pPr>
              <w:pStyle w:val="TableParagraph"/>
              <w:spacing w:before="0"/>
              <w:rPr>
                <w:sz w:val="18"/>
              </w:rPr>
            </w:pPr>
          </w:p>
        </w:tc>
        <w:tc>
          <w:tcPr>
            <w:tcW w:w="3738" w:type="dxa"/>
          </w:tcPr>
          <w:p>
            <w:pPr>
              <w:pStyle w:val="TableParagraph"/>
              <w:spacing w:before="0"/>
              <w:rPr>
                <w:sz w:val="18"/>
              </w:rPr>
            </w:pPr>
          </w:p>
        </w:tc>
        <w:tc>
          <w:tcPr>
            <w:tcW w:w="1732" w:type="dxa"/>
          </w:tcPr>
          <w:p>
            <w:pPr>
              <w:pStyle w:val="TableParagraph"/>
              <w:spacing w:before="0"/>
              <w:rPr>
                <w:sz w:val="18"/>
              </w:rPr>
            </w:pPr>
          </w:p>
        </w:tc>
        <w:tc>
          <w:tcPr>
            <w:tcW w:w="1657" w:type="dxa"/>
          </w:tcPr>
          <w:p>
            <w:pPr>
              <w:pStyle w:val="TableParagraph"/>
              <w:spacing w:before="1"/>
              <w:ind w:right="112"/>
              <w:jc w:val="right"/>
              <w:rPr>
                <w:b/>
                <w:sz w:val="20"/>
              </w:rPr>
            </w:pPr>
            <w:r>
              <w:rPr>
                <w:b/>
                <w:color w:val="231F20"/>
                <w:sz w:val="20"/>
              </w:rPr>
              <w:t>As</w:t>
            </w:r>
            <w:r>
              <w:rPr>
                <w:b/>
                <w:color w:val="231F20"/>
                <w:spacing w:val="12"/>
                <w:sz w:val="20"/>
              </w:rPr>
              <w:t> </w:t>
            </w:r>
            <w:r>
              <w:rPr>
                <w:b/>
                <w:color w:val="231F20"/>
                <w:spacing w:val="-5"/>
                <w:sz w:val="20"/>
              </w:rPr>
              <w:t>at</w:t>
            </w:r>
          </w:p>
        </w:tc>
      </w:tr>
      <w:tr>
        <w:trPr>
          <w:trHeight w:val="280" w:hRule="atLeast"/>
        </w:trPr>
        <w:tc>
          <w:tcPr>
            <w:tcW w:w="413" w:type="dxa"/>
          </w:tcPr>
          <w:p>
            <w:pPr>
              <w:pStyle w:val="TableParagraph"/>
              <w:spacing w:before="0"/>
              <w:rPr>
                <w:sz w:val="20"/>
              </w:rPr>
            </w:pPr>
          </w:p>
        </w:tc>
        <w:tc>
          <w:tcPr>
            <w:tcW w:w="3738" w:type="dxa"/>
          </w:tcPr>
          <w:p>
            <w:pPr>
              <w:pStyle w:val="TableParagraph"/>
              <w:spacing w:before="0"/>
              <w:rPr>
                <w:sz w:val="20"/>
              </w:rPr>
            </w:pPr>
          </w:p>
        </w:tc>
        <w:tc>
          <w:tcPr>
            <w:tcW w:w="1732" w:type="dxa"/>
          </w:tcPr>
          <w:p>
            <w:pPr>
              <w:pStyle w:val="TableParagraph"/>
              <w:spacing w:before="25"/>
              <w:ind w:right="156"/>
              <w:jc w:val="right"/>
              <w:rPr>
                <w:b/>
                <w:sz w:val="20"/>
              </w:rPr>
            </w:pPr>
            <w:r>
              <w:rPr>
                <w:b/>
                <w:color w:val="231F20"/>
                <w:sz w:val="20"/>
              </w:rPr>
              <w:t>As</w:t>
            </w:r>
            <w:r>
              <w:rPr>
                <w:b/>
                <w:color w:val="231F20"/>
                <w:spacing w:val="12"/>
                <w:sz w:val="20"/>
              </w:rPr>
              <w:t> </w:t>
            </w:r>
            <w:r>
              <w:rPr>
                <w:b/>
                <w:color w:val="231F20"/>
                <w:spacing w:val="-5"/>
                <w:sz w:val="20"/>
              </w:rPr>
              <w:t>at</w:t>
            </w:r>
          </w:p>
        </w:tc>
        <w:tc>
          <w:tcPr>
            <w:tcW w:w="1657" w:type="dxa"/>
          </w:tcPr>
          <w:p>
            <w:pPr>
              <w:pStyle w:val="TableParagraph"/>
              <w:spacing w:before="25"/>
              <w:ind w:right="112"/>
              <w:jc w:val="right"/>
              <w:rPr>
                <w:b/>
                <w:sz w:val="20"/>
              </w:rPr>
            </w:pPr>
            <w:r>
              <w:rPr>
                <w:b/>
                <w:color w:val="231F20"/>
                <w:sz w:val="20"/>
              </w:rPr>
              <w:t>December</w:t>
            </w:r>
            <w:r>
              <w:rPr>
                <w:b/>
                <w:color w:val="231F20"/>
                <w:spacing w:val="45"/>
                <w:sz w:val="20"/>
              </w:rPr>
              <w:t> </w:t>
            </w:r>
            <w:r>
              <w:rPr>
                <w:b/>
                <w:color w:val="231F20"/>
                <w:spacing w:val="-5"/>
                <w:sz w:val="20"/>
              </w:rPr>
              <w:t>31,</w:t>
            </w:r>
          </w:p>
        </w:tc>
      </w:tr>
      <w:tr>
        <w:trPr>
          <w:trHeight w:val="280" w:hRule="atLeast"/>
        </w:trPr>
        <w:tc>
          <w:tcPr>
            <w:tcW w:w="413" w:type="dxa"/>
          </w:tcPr>
          <w:p>
            <w:pPr>
              <w:pStyle w:val="TableParagraph"/>
              <w:spacing w:before="0"/>
              <w:rPr>
                <w:sz w:val="20"/>
              </w:rPr>
            </w:pPr>
          </w:p>
        </w:tc>
        <w:tc>
          <w:tcPr>
            <w:tcW w:w="3738" w:type="dxa"/>
          </w:tcPr>
          <w:p>
            <w:pPr>
              <w:pStyle w:val="TableParagraph"/>
              <w:spacing w:before="0"/>
              <w:rPr>
                <w:sz w:val="20"/>
              </w:rPr>
            </w:pPr>
          </w:p>
        </w:tc>
        <w:tc>
          <w:tcPr>
            <w:tcW w:w="1732" w:type="dxa"/>
          </w:tcPr>
          <w:p>
            <w:pPr>
              <w:pStyle w:val="TableParagraph"/>
              <w:spacing w:before="25"/>
              <w:ind w:right="156"/>
              <w:jc w:val="right"/>
              <w:rPr>
                <w:b/>
                <w:sz w:val="20"/>
              </w:rPr>
            </w:pPr>
            <w:r>
              <w:rPr>
                <w:b/>
                <w:color w:val="231F20"/>
                <w:sz w:val="20"/>
              </w:rPr>
              <w:t>June</w:t>
            </w:r>
            <w:r>
              <w:rPr>
                <w:b/>
                <w:color w:val="231F20"/>
                <w:spacing w:val="18"/>
                <w:sz w:val="20"/>
              </w:rPr>
              <w:t> </w:t>
            </w:r>
            <w:r>
              <w:rPr>
                <w:b/>
                <w:color w:val="231F20"/>
                <w:sz w:val="20"/>
              </w:rPr>
              <w:t>30,</w:t>
            </w:r>
            <w:r>
              <w:rPr>
                <w:b/>
                <w:color w:val="231F20"/>
                <w:spacing w:val="19"/>
                <w:sz w:val="20"/>
              </w:rPr>
              <w:t> </w:t>
            </w:r>
            <w:r>
              <w:rPr>
                <w:b/>
                <w:color w:val="231F20"/>
                <w:spacing w:val="-2"/>
                <w:sz w:val="20"/>
              </w:rPr>
              <w:t>2025/</w:t>
            </w:r>
          </w:p>
        </w:tc>
        <w:tc>
          <w:tcPr>
            <w:tcW w:w="1657" w:type="dxa"/>
          </w:tcPr>
          <w:p>
            <w:pPr>
              <w:pStyle w:val="TableParagraph"/>
              <w:spacing w:before="25"/>
              <w:ind w:right="112"/>
              <w:jc w:val="right"/>
              <w:rPr>
                <w:b/>
                <w:sz w:val="20"/>
              </w:rPr>
            </w:pPr>
            <w:r>
              <w:rPr>
                <w:b/>
                <w:color w:val="231F20"/>
                <w:sz w:val="20"/>
              </w:rPr>
              <w:t>2024/For</w:t>
            </w:r>
            <w:r>
              <w:rPr>
                <w:b/>
                <w:color w:val="231F20"/>
                <w:spacing w:val="43"/>
                <w:sz w:val="20"/>
              </w:rPr>
              <w:t> </w:t>
            </w:r>
            <w:r>
              <w:rPr>
                <w:b/>
                <w:color w:val="231F20"/>
                <w:spacing w:val="-2"/>
                <w:sz w:val="20"/>
              </w:rPr>
              <w:t>period</w:t>
            </w:r>
          </w:p>
        </w:tc>
      </w:tr>
      <w:tr>
        <w:trPr>
          <w:trHeight w:val="280" w:hRule="atLeast"/>
        </w:trPr>
        <w:tc>
          <w:tcPr>
            <w:tcW w:w="413" w:type="dxa"/>
          </w:tcPr>
          <w:p>
            <w:pPr>
              <w:pStyle w:val="TableParagraph"/>
              <w:spacing w:before="0"/>
              <w:rPr>
                <w:sz w:val="20"/>
              </w:rPr>
            </w:pPr>
          </w:p>
        </w:tc>
        <w:tc>
          <w:tcPr>
            <w:tcW w:w="3738" w:type="dxa"/>
          </w:tcPr>
          <w:p>
            <w:pPr>
              <w:pStyle w:val="TableParagraph"/>
              <w:spacing w:before="0"/>
              <w:rPr>
                <w:sz w:val="20"/>
              </w:rPr>
            </w:pPr>
          </w:p>
        </w:tc>
        <w:tc>
          <w:tcPr>
            <w:tcW w:w="1732" w:type="dxa"/>
          </w:tcPr>
          <w:p>
            <w:pPr>
              <w:pStyle w:val="TableParagraph"/>
              <w:spacing w:before="25"/>
              <w:ind w:right="156"/>
              <w:jc w:val="right"/>
              <w:rPr>
                <w:b/>
                <w:sz w:val="20"/>
              </w:rPr>
            </w:pPr>
            <w:r>
              <w:rPr>
                <w:b/>
                <w:color w:val="231F20"/>
                <w:sz w:val="20"/>
              </w:rPr>
              <w:t>For</w:t>
            </w:r>
            <w:r>
              <w:rPr>
                <w:b/>
                <w:color w:val="231F20"/>
                <w:spacing w:val="20"/>
                <w:sz w:val="20"/>
              </w:rPr>
              <w:t> </w:t>
            </w:r>
            <w:r>
              <w:rPr>
                <w:b/>
                <w:color w:val="231F20"/>
                <w:sz w:val="20"/>
              </w:rPr>
              <w:t>the</w:t>
            </w:r>
            <w:r>
              <w:rPr>
                <w:b/>
                <w:color w:val="231F20"/>
                <w:spacing w:val="20"/>
                <w:sz w:val="20"/>
              </w:rPr>
              <w:t> </w:t>
            </w:r>
            <w:r>
              <w:rPr>
                <w:b/>
                <w:color w:val="231F20"/>
                <w:spacing w:val="-2"/>
                <w:sz w:val="20"/>
              </w:rPr>
              <w:t>period</w:t>
            </w:r>
          </w:p>
        </w:tc>
        <w:tc>
          <w:tcPr>
            <w:tcW w:w="1657" w:type="dxa"/>
          </w:tcPr>
          <w:p>
            <w:pPr>
              <w:pStyle w:val="TableParagraph"/>
              <w:spacing w:before="25"/>
              <w:ind w:right="112"/>
              <w:jc w:val="right"/>
              <w:rPr>
                <w:b/>
                <w:sz w:val="20"/>
              </w:rPr>
            </w:pPr>
            <w:r>
              <w:rPr>
                <w:b/>
                <w:color w:val="231F20"/>
                <w:sz w:val="20"/>
              </w:rPr>
              <w:t>from</w:t>
            </w:r>
            <w:r>
              <w:rPr>
                <w:b/>
                <w:color w:val="231F20"/>
                <w:spacing w:val="25"/>
                <w:sz w:val="20"/>
              </w:rPr>
              <w:t> </w:t>
            </w:r>
            <w:r>
              <w:rPr>
                <w:b/>
                <w:color w:val="231F20"/>
                <w:spacing w:val="-2"/>
                <w:sz w:val="20"/>
              </w:rPr>
              <w:t>January</w:t>
            </w:r>
          </w:p>
        </w:tc>
      </w:tr>
      <w:tr>
        <w:trPr>
          <w:trHeight w:val="280" w:hRule="atLeast"/>
        </w:trPr>
        <w:tc>
          <w:tcPr>
            <w:tcW w:w="413" w:type="dxa"/>
          </w:tcPr>
          <w:p>
            <w:pPr>
              <w:pStyle w:val="TableParagraph"/>
              <w:spacing w:before="0"/>
              <w:rPr>
                <w:sz w:val="20"/>
              </w:rPr>
            </w:pPr>
          </w:p>
        </w:tc>
        <w:tc>
          <w:tcPr>
            <w:tcW w:w="3738" w:type="dxa"/>
          </w:tcPr>
          <w:p>
            <w:pPr>
              <w:pStyle w:val="TableParagraph"/>
              <w:spacing w:before="0"/>
              <w:rPr>
                <w:sz w:val="20"/>
              </w:rPr>
            </w:pPr>
          </w:p>
        </w:tc>
        <w:tc>
          <w:tcPr>
            <w:tcW w:w="1732" w:type="dxa"/>
          </w:tcPr>
          <w:p>
            <w:pPr>
              <w:pStyle w:val="TableParagraph"/>
              <w:spacing w:before="25"/>
              <w:ind w:right="156"/>
              <w:jc w:val="right"/>
              <w:rPr>
                <w:b/>
                <w:sz w:val="20"/>
              </w:rPr>
            </w:pPr>
            <w:r>
              <w:rPr>
                <w:b/>
                <w:color w:val="231F20"/>
                <w:sz w:val="20"/>
              </w:rPr>
              <w:t>from</w:t>
            </w:r>
            <w:r>
              <w:rPr>
                <w:b/>
                <w:color w:val="231F20"/>
                <w:spacing w:val="25"/>
                <w:sz w:val="20"/>
              </w:rPr>
              <w:t> </w:t>
            </w:r>
            <w:r>
              <w:rPr>
                <w:b/>
                <w:color w:val="231F20"/>
                <w:spacing w:val="-2"/>
                <w:sz w:val="20"/>
              </w:rPr>
              <w:t>January</w:t>
            </w:r>
          </w:p>
        </w:tc>
        <w:tc>
          <w:tcPr>
            <w:tcW w:w="1657" w:type="dxa"/>
          </w:tcPr>
          <w:p>
            <w:pPr>
              <w:pStyle w:val="TableParagraph"/>
              <w:spacing w:before="25"/>
              <w:ind w:right="112"/>
              <w:jc w:val="right"/>
              <w:rPr>
                <w:b/>
                <w:sz w:val="20"/>
              </w:rPr>
            </w:pPr>
            <w:r>
              <w:rPr>
                <w:b/>
                <w:color w:val="231F20"/>
                <w:sz w:val="20"/>
              </w:rPr>
              <w:t>to</w:t>
            </w:r>
            <w:r>
              <w:rPr>
                <w:b/>
                <w:color w:val="231F20"/>
                <w:spacing w:val="12"/>
                <w:sz w:val="20"/>
              </w:rPr>
              <w:t> </w:t>
            </w:r>
            <w:r>
              <w:rPr>
                <w:b/>
                <w:color w:val="231F20"/>
                <w:spacing w:val="-2"/>
                <w:sz w:val="20"/>
              </w:rPr>
              <w:t>December</w:t>
            </w:r>
          </w:p>
        </w:tc>
      </w:tr>
      <w:tr>
        <w:trPr>
          <w:trHeight w:val="280" w:hRule="atLeast"/>
        </w:trPr>
        <w:tc>
          <w:tcPr>
            <w:tcW w:w="413" w:type="dxa"/>
          </w:tcPr>
          <w:p>
            <w:pPr>
              <w:pStyle w:val="TableParagraph"/>
              <w:spacing w:before="0"/>
              <w:rPr>
                <w:sz w:val="20"/>
              </w:rPr>
            </w:pPr>
          </w:p>
        </w:tc>
        <w:tc>
          <w:tcPr>
            <w:tcW w:w="3738" w:type="dxa"/>
          </w:tcPr>
          <w:p>
            <w:pPr>
              <w:pStyle w:val="TableParagraph"/>
              <w:spacing w:before="0"/>
              <w:rPr>
                <w:sz w:val="20"/>
              </w:rPr>
            </w:pPr>
          </w:p>
        </w:tc>
        <w:tc>
          <w:tcPr>
            <w:tcW w:w="1732" w:type="dxa"/>
          </w:tcPr>
          <w:p>
            <w:pPr>
              <w:pStyle w:val="TableParagraph"/>
              <w:spacing w:before="25"/>
              <w:ind w:right="156"/>
              <w:jc w:val="right"/>
              <w:rPr>
                <w:b/>
                <w:sz w:val="20"/>
              </w:rPr>
            </w:pPr>
            <w:r>
              <w:rPr>
                <w:b/>
                <w:color w:val="231F20"/>
                <w:sz w:val="20"/>
              </w:rPr>
              <w:t>to</w:t>
            </w:r>
            <w:r>
              <w:rPr>
                <w:b/>
                <w:color w:val="231F20"/>
                <w:spacing w:val="16"/>
                <w:sz w:val="20"/>
              </w:rPr>
              <w:t> </w:t>
            </w:r>
            <w:r>
              <w:rPr>
                <w:b/>
                <w:color w:val="231F20"/>
                <w:sz w:val="20"/>
              </w:rPr>
              <w:t>June</w:t>
            </w:r>
            <w:r>
              <w:rPr>
                <w:b/>
                <w:color w:val="231F20"/>
                <w:spacing w:val="17"/>
                <w:sz w:val="20"/>
              </w:rPr>
              <w:t> </w:t>
            </w:r>
            <w:r>
              <w:rPr>
                <w:b/>
                <w:color w:val="231F20"/>
                <w:spacing w:val="-4"/>
                <w:sz w:val="20"/>
              </w:rPr>
              <w:t>2025</w:t>
            </w:r>
          </w:p>
        </w:tc>
        <w:tc>
          <w:tcPr>
            <w:tcW w:w="1657" w:type="dxa"/>
          </w:tcPr>
          <w:p>
            <w:pPr>
              <w:pStyle w:val="TableParagraph"/>
              <w:spacing w:before="25"/>
              <w:ind w:right="112"/>
              <w:jc w:val="right"/>
              <w:rPr>
                <w:b/>
                <w:sz w:val="20"/>
              </w:rPr>
            </w:pPr>
            <w:r>
              <w:rPr>
                <w:b/>
                <w:color w:val="231F20"/>
                <w:spacing w:val="-4"/>
                <w:sz w:val="20"/>
              </w:rPr>
              <w:t>2024</w:t>
            </w:r>
          </w:p>
        </w:tc>
      </w:tr>
      <w:tr>
        <w:trPr>
          <w:trHeight w:val="704" w:hRule="atLeast"/>
        </w:trPr>
        <w:tc>
          <w:tcPr>
            <w:tcW w:w="413" w:type="dxa"/>
          </w:tcPr>
          <w:p>
            <w:pPr>
              <w:pStyle w:val="TableParagraph"/>
              <w:spacing w:before="0"/>
              <w:rPr>
                <w:sz w:val="20"/>
              </w:rPr>
            </w:pPr>
          </w:p>
        </w:tc>
        <w:tc>
          <w:tcPr>
            <w:tcW w:w="3738" w:type="dxa"/>
          </w:tcPr>
          <w:p>
            <w:pPr>
              <w:pStyle w:val="TableParagraph"/>
              <w:spacing w:before="25"/>
              <w:ind w:left="203"/>
              <w:rPr>
                <w:b/>
                <w:sz w:val="20"/>
              </w:rPr>
            </w:pPr>
            <w:r>
              <w:rPr>
                <w:b/>
                <w:color w:val="231F20"/>
                <w:spacing w:val="-2"/>
                <w:sz w:val="20"/>
              </w:rPr>
              <w:t>Items</w:t>
            </w:r>
          </w:p>
        </w:tc>
        <w:tc>
          <w:tcPr>
            <w:tcW w:w="1732" w:type="dxa"/>
          </w:tcPr>
          <w:p>
            <w:pPr>
              <w:pStyle w:val="TableParagraph"/>
              <w:spacing w:before="25"/>
              <w:ind w:left="551"/>
              <w:rPr>
                <w:b/>
                <w:sz w:val="20"/>
              </w:rPr>
            </w:pPr>
            <w:r>
              <w:rPr>
                <w:b/>
                <w:color w:val="231F20"/>
                <w:spacing w:val="-2"/>
                <w:sz w:val="20"/>
              </w:rPr>
              <w:t>(Unaudited)</w:t>
            </w:r>
          </w:p>
          <w:p>
            <w:pPr>
              <w:pStyle w:val="TableParagraph"/>
              <w:spacing w:before="50"/>
              <w:ind w:left="1014"/>
              <w:rPr>
                <w:b/>
                <w:i/>
                <w:sz w:val="20"/>
              </w:rPr>
            </w:pPr>
            <w:r>
              <w:rPr>
                <w:b/>
                <w:i/>
                <w:color w:val="231F20"/>
                <w:spacing w:val="-2"/>
                <w:w w:val="105"/>
                <w:sz w:val="20"/>
              </w:rPr>
              <w:t>(RMB)</w:t>
            </w:r>
          </w:p>
        </w:tc>
        <w:tc>
          <w:tcPr>
            <w:tcW w:w="1657" w:type="dxa"/>
          </w:tcPr>
          <w:p>
            <w:pPr>
              <w:pStyle w:val="TableParagraph"/>
              <w:spacing w:before="25"/>
              <w:ind w:left="741"/>
              <w:rPr>
                <w:b/>
                <w:sz w:val="20"/>
              </w:rPr>
            </w:pPr>
            <w:r>
              <w:rPr>
                <w:b/>
                <w:color w:val="231F20"/>
                <w:spacing w:val="-2"/>
                <w:sz w:val="20"/>
              </w:rPr>
              <w:t>(Audited)</w:t>
            </w:r>
          </w:p>
          <w:p>
            <w:pPr>
              <w:pStyle w:val="TableParagraph"/>
              <w:spacing w:before="50"/>
              <w:ind w:left="983"/>
              <w:rPr>
                <w:b/>
                <w:i/>
                <w:sz w:val="20"/>
              </w:rPr>
            </w:pPr>
            <w:r>
              <w:rPr>
                <w:b/>
                <w:i/>
                <w:color w:val="231F20"/>
                <w:spacing w:val="-2"/>
                <w:w w:val="105"/>
                <w:sz w:val="20"/>
              </w:rPr>
              <w:t>(RMB)</w:t>
            </w:r>
          </w:p>
        </w:tc>
      </w:tr>
      <w:tr>
        <w:trPr>
          <w:trHeight w:val="419" w:hRule="atLeast"/>
        </w:trPr>
        <w:tc>
          <w:tcPr>
            <w:tcW w:w="413" w:type="dxa"/>
          </w:tcPr>
          <w:p>
            <w:pPr>
              <w:pStyle w:val="TableParagraph"/>
              <w:spacing w:before="0"/>
              <w:rPr>
                <w:sz w:val="20"/>
              </w:rPr>
            </w:pPr>
          </w:p>
        </w:tc>
        <w:tc>
          <w:tcPr>
            <w:tcW w:w="3738" w:type="dxa"/>
          </w:tcPr>
          <w:p>
            <w:pPr>
              <w:pStyle w:val="TableParagraph"/>
              <w:spacing w:before="161"/>
              <w:ind w:left="203"/>
              <w:rPr>
                <w:sz w:val="20"/>
              </w:rPr>
            </w:pPr>
            <w:r>
              <w:rPr>
                <w:color w:val="231F20"/>
                <w:sz w:val="20"/>
              </w:rPr>
              <w:t>Total</w:t>
            </w:r>
            <w:r>
              <w:rPr>
                <w:color w:val="231F20"/>
                <w:spacing w:val="28"/>
                <w:sz w:val="20"/>
              </w:rPr>
              <w:t> </w:t>
            </w:r>
            <w:r>
              <w:rPr>
                <w:color w:val="231F20"/>
                <w:spacing w:val="-2"/>
                <w:sz w:val="20"/>
              </w:rPr>
              <w:t>assets</w:t>
            </w:r>
          </w:p>
        </w:tc>
        <w:tc>
          <w:tcPr>
            <w:tcW w:w="1732" w:type="dxa"/>
          </w:tcPr>
          <w:p>
            <w:pPr>
              <w:pStyle w:val="TableParagraph"/>
              <w:spacing w:before="161"/>
              <w:ind w:right="156"/>
              <w:jc w:val="right"/>
              <w:rPr>
                <w:sz w:val="20"/>
              </w:rPr>
            </w:pPr>
            <w:r>
              <w:rPr>
                <w:color w:val="231F20"/>
                <w:spacing w:val="-2"/>
                <w:sz w:val="20"/>
              </w:rPr>
              <w:t>176,680,169.53</w:t>
            </w:r>
          </w:p>
        </w:tc>
        <w:tc>
          <w:tcPr>
            <w:tcW w:w="1657" w:type="dxa"/>
          </w:tcPr>
          <w:p>
            <w:pPr>
              <w:pStyle w:val="TableParagraph"/>
              <w:spacing w:before="161"/>
              <w:ind w:right="114"/>
              <w:jc w:val="right"/>
              <w:rPr>
                <w:sz w:val="20"/>
              </w:rPr>
            </w:pPr>
            <w:r>
              <w:rPr>
                <w:color w:val="231F20"/>
                <w:spacing w:val="-2"/>
                <w:sz w:val="20"/>
              </w:rPr>
              <w:t>168,622,870.77</w:t>
            </w:r>
          </w:p>
        </w:tc>
      </w:tr>
      <w:tr>
        <w:trPr>
          <w:trHeight w:val="280" w:hRule="atLeast"/>
        </w:trPr>
        <w:tc>
          <w:tcPr>
            <w:tcW w:w="413" w:type="dxa"/>
          </w:tcPr>
          <w:p>
            <w:pPr>
              <w:pStyle w:val="TableParagraph"/>
              <w:spacing w:before="0"/>
              <w:rPr>
                <w:sz w:val="20"/>
              </w:rPr>
            </w:pPr>
          </w:p>
        </w:tc>
        <w:tc>
          <w:tcPr>
            <w:tcW w:w="3738" w:type="dxa"/>
          </w:tcPr>
          <w:p>
            <w:pPr>
              <w:pStyle w:val="TableParagraph"/>
              <w:ind w:left="203"/>
              <w:rPr>
                <w:sz w:val="20"/>
              </w:rPr>
            </w:pPr>
            <w:r>
              <w:rPr>
                <w:color w:val="231F20"/>
                <w:sz w:val="20"/>
              </w:rPr>
              <w:t>Total</w:t>
            </w:r>
            <w:r>
              <w:rPr>
                <w:color w:val="231F20"/>
                <w:spacing w:val="30"/>
                <w:sz w:val="20"/>
              </w:rPr>
              <w:t> </w:t>
            </w:r>
            <w:r>
              <w:rPr>
                <w:color w:val="231F20"/>
                <w:spacing w:val="-2"/>
                <w:sz w:val="20"/>
              </w:rPr>
              <w:t>liabilities</w:t>
            </w:r>
          </w:p>
        </w:tc>
        <w:tc>
          <w:tcPr>
            <w:tcW w:w="1732" w:type="dxa"/>
          </w:tcPr>
          <w:p>
            <w:pPr>
              <w:pStyle w:val="TableParagraph"/>
              <w:ind w:right="156"/>
              <w:jc w:val="right"/>
              <w:rPr>
                <w:sz w:val="20"/>
              </w:rPr>
            </w:pPr>
            <w:r>
              <w:rPr>
                <w:color w:val="231F20"/>
                <w:spacing w:val="-2"/>
                <w:sz w:val="20"/>
              </w:rPr>
              <w:t>47,859,349.76</w:t>
            </w:r>
          </w:p>
        </w:tc>
        <w:tc>
          <w:tcPr>
            <w:tcW w:w="1657" w:type="dxa"/>
          </w:tcPr>
          <w:p>
            <w:pPr>
              <w:pStyle w:val="TableParagraph"/>
              <w:ind w:right="114"/>
              <w:jc w:val="right"/>
              <w:rPr>
                <w:sz w:val="20"/>
              </w:rPr>
            </w:pPr>
            <w:r>
              <w:rPr>
                <w:color w:val="231F20"/>
                <w:spacing w:val="-2"/>
                <w:sz w:val="20"/>
              </w:rPr>
              <w:t>46,593,598.36</w:t>
            </w:r>
          </w:p>
        </w:tc>
      </w:tr>
      <w:tr>
        <w:trPr>
          <w:trHeight w:val="280" w:hRule="atLeast"/>
        </w:trPr>
        <w:tc>
          <w:tcPr>
            <w:tcW w:w="413" w:type="dxa"/>
          </w:tcPr>
          <w:p>
            <w:pPr>
              <w:pStyle w:val="TableParagraph"/>
              <w:spacing w:before="0"/>
              <w:rPr>
                <w:sz w:val="20"/>
              </w:rPr>
            </w:pPr>
          </w:p>
        </w:tc>
        <w:tc>
          <w:tcPr>
            <w:tcW w:w="3738" w:type="dxa"/>
          </w:tcPr>
          <w:p>
            <w:pPr>
              <w:pStyle w:val="TableParagraph"/>
              <w:ind w:left="203"/>
              <w:rPr>
                <w:sz w:val="20"/>
              </w:rPr>
            </w:pPr>
            <w:r>
              <w:rPr>
                <w:color w:val="231F20"/>
                <w:sz w:val="20"/>
              </w:rPr>
              <w:t>Net</w:t>
            </w:r>
            <w:r>
              <w:rPr>
                <w:color w:val="231F20"/>
                <w:spacing w:val="18"/>
                <w:sz w:val="20"/>
              </w:rPr>
              <w:t> </w:t>
            </w:r>
            <w:r>
              <w:rPr>
                <w:color w:val="231F20"/>
                <w:spacing w:val="-2"/>
                <w:sz w:val="20"/>
              </w:rPr>
              <w:t>assets</w:t>
            </w:r>
          </w:p>
        </w:tc>
        <w:tc>
          <w:tcPr>
            <w:tcW w:w="1732" w:type="dxa"/>
          </w:tcPr>
          <w:p>
            <w:pPr>
              <w:pStyle w:val="TableParagraph"/>
              <w:ind w:right="156"/>
              <w:jc w:val="right"/>
              <w:rPr>
                <w:sz w:val="20"/>
              </w:rPr>
            </w:pPr>
            <w:r>
              <w:rPr>
                <w:color w:val="231F20"/>
                <w:spacing w:val="-2"/>
                <w:sz w:val="20"/>
              </w:rPr>
              <w:t>128,820,819.77</w:t>
            </w:r>
          </w:p>
        </w:tc>
        <w:tc>
          <w:tcPr>
            <w:tcW w:w="1657" w:type="dxa"/>
          </w:tcPr>
          <w:p>
            <w:pPr>
              <w:pStyle w:val="TableParagraph"/>
              <w:ind w:right="114"/>
              <w:jc w:val="right"/>
              <w:rPr>
                <w:sz w:val="20"/>
              </w:rPr>
            </w:pPr>
            <w:r>
              <w:rPr>
                <w:color w:val="231F20"/>
                <w:spacing w:val="-2"/>
                <w:sz w:val="20"/>
              </w:rPr>
              <w:t>122,029,272.41</w:t>
            </w:r>
          </w:p>
        </w:tc>
      </w:tr>
      <w:tr>
        <w:trPr>
          <w:trHeight w:val="280" w:hRule="atLeast"/>
        </w:trPr>
        <w:tc>
          <w:tcPr>
            <w:tcW w:w="413" w:type="dxa"/>
          </w:tcPr>
          <w:p>
            <w:pPr>
              <w:pStyle w:val="TableParagraph"/>
              <w:spacing w:before="0"/>
              <w:rPr>
                <w:sz w:val="20"/>
              </w:rPr>
            </w:pPr>
          </w:p>
        </w:tc>
        <w:tc>
          <w:tcPr>
            <w:tcW w:w="3738" w:type="dxa"/>
          </w:tcPr>
          <w:p>
            <w:pPr>
              <w:pStyle w:val="TableParagraph"/>
              <w:ind w:left="203"/>
              <w:rPr>
                <w:sz w:val="20"/>
              </w:rPr>
            </w:pPr>
            <w:r>
              <w:rPr>
                <w:color w:val="231F20"/>
                <w:sz w:val="20"/>
              </w:rPr>
              <w:t>Operating</w:t>
            </w:r>
            <w:r>
              <w:rPr>
                <w:color w:val="231F20"/>
                <w:spacing w:val="50"/>
                <w:sz w:val="20"/>
              </w:rPr>
              <w:t> </w:t>
            </w:r>
            <w:r>
              <w:rPr>
                <w:color w:val="231F20"/>
                <w:spacing w:val="-2"/>
                <w:sz w:val="20"/>
              </w:rPr>
              <w:t>revenue</w:t>
            </w:r>
          </w:p>
        </w:tc>
        <w:tc>
          <w:tcPr>
            <w:tcW w:w="1732" w:type="dxa"/>
          </w:tcPr>
          <w:p>
            <w:pPr>
              <w:pStyle w:val="TableParagraph"/>
              <w:ind w:right="156"/>
              <w:jc w:val="right"/>
              <w:rPr>
                <w:sz w:val="20"/>
              </w:rPr>
            </w:pPr>
            <w:r>
              <w:rPr>
                <w:color w:val="231F20"/>
                <w:spacing w:val="-2"/>
                <w:sz w:val="20"/>
              </w:rPr>
              <w:t>100,044,610.26</w:t>
            </w:r>
          </w:p>
        </w:tc>
        <w:tc>
          <w:tcPr>
            <w:tcW w:w="1657" w:type="dxa"/>
          </w:tcPr>
          <w:p>
            <w:pPr>
              <w:pStyle w:val="TableParagraph"/>
              <w:ind w:right="114"/>
              <w:jc w:val="right"/>
              <w:rPr>
                <w:sz w:val="20"/>
              </w:rPr>
            </w:pPr>
            <w:r>
              <w:rPr>
                <w:color w:val="231F20"/>
                <w:spacing w:val="-2"/>
                <w:sz w:val="20"/>
              </w:rPr>
              <w:t>188,365,920.79</w:t>
            </w:r>
          </w:p>
        </w:tc>
      </w:tr>
      <w:tr>
        <w:trPr>
          <w:trHeight w:val="280" w:hRule="atLeast"/>
        </w:trPr>
        <w:tc>
          <w:tcPr>
            <w:tcW w:w="413" w:type="dxa"/>
          </w:tcPr>
          <w:p>
            <w:pPr>
              <w:pStyle w:val="TableParagraph"/>
              <w:spacing w:before="0"/>
              <w:rPr>
                <w:sz w:val="20"/>
              </w:rPr>
            </w:pPr>
          </w:p>
        </w:tc>
        <w:tc>
          <w:tcPr>
            <w:tcW w:w="3738" w:type="dxa"/>
          </w:tcPr>
          <w:p>
            <w:pPr>
              <w:pStyle w:val="TableParagraph"/>
              <w:ind w:left="203"/>
              <w:rPr>
                <w:sz w:val="20"/>
              </w:rPr>
            </w:pPr>
            <w:r>
              <w:rPr>
                <w:color w:val="231F20"/>
                <w:sz w:val="20"/>
              </w:rPr>
              <w:t>Total</w:t>
            </w:r>
            <w:r>
              <w:rPr>
                <w:color w:val="231F20"/>
                <w:spacing w:val="28"/>
                <w:sz w:val="20"/>
              </w:rPr>
              <w:t> </w:t>
            </w:r>
            <w:r>
              <w:rPr>
                <w:color w:val="231F20"/>
                <w:spacing w:val="-2"/>
                <w:sz w:val="20"/>
              </w:rPr>
              <w:t>profit</w:t>
            </w:r>
          </w:p>
        </w:tc>
        <w:tc>
          <w:tcPr>
            <w:tcW w:w="1732" w:type="dxa"/>
          </w:tcPr>
          <w:p>
            <w:pPr>
              <w:pStyle w:val="TableParagraph"/>
              <w:ind w:right="156"/>
              <w:jc w:val="right"/>
              <w:rPr>
                <w:sz w:val="20"/>
              </w:rPr>
            </w:pPr>
            <w:r>
              <w:rPr>
                <w:color w:val="231F20"/>
                <w:spacing w:val="-2"/>
                <w:sz w:val="20"/>
              </w:rPr>
              <w:t>6,660,209.36</w:t>
            </w:r>
          </w:p>
        </w:tc>
        <w:tc>
          <w:tcPr>
            <w:tcW w:w="1657" w:type="dxa"/>
          </w:tcPr>
          <w:p>
            <w:pPr>
              <w:pStyle w:val="TableParagraph"/>
              <w:ind w:right="114"/>
              <w:jc w:val="right"/>
              <w:rPr>
                <w:sz w:val="20"/>
              </w:rPr>
            </w:pPr>
            <w:r>
              <w:rPr>
                <w:color w:val="231F20"/>
                <w:spacing w:val="-2"/>
                <w:sz w:val="20"/>
              </w:rPr>
              <w:t>12,555,593.98</w:t>
            </w:r>
          </w:p>
        </w:tc>
      </w:tr>
      <w:tr>
        <w:trPr>
          <w:trHeight w:val="420" w:hRule="atLeast"/>
        </w:trPr>
        <w:tc>
          <w:tcPr>
            <w:tcW w:w="413" w:type="dxa"/>
          </w:tcPr>
          <w:p>
            <w:pPr>
              <w:pStyle w:val="TableParagraph"/>
              <w:spacing w:before="0"/>
              <w:rPr>
                <w:sz w:val="20"/>
              </w:rPr>
            </w:pPr>
          </w:p>
        </w:tc>
        <w:tc>
          <w:tcPr>
            <w:tcW w:w="3738" w:type="dxa"/>
          </w:tcPr>
          <w:p>
            <w:pPr>
              <w:pStyle w:val="TableParagraph"/>
              <w:ind w:left="203"/>
              <w:rPr>
                <w:sz w:val="20"/>
              </w:rPr>
            </w:pPr>
            <w:r>
              <w:rPr>
                <w:color w:val="231F20"/>
                <w:sz w:val="20"/>
              </w:rPr>
              <w:t>Net</w:t>
            </w:r>
            <w:r>
              <w:rPr>
                <w:color w:val="231F20"/>
                <w:spacing w:val="18"/>
                <w:sz w:val="20"/>
              </w:rPr>
              <w:t> </w:t>
            </w:r>
            <w:r>
              <w:rPr>
                <w:color w:val="231F20"/>
                <w:spacing w:val="-2"/>
                <w:sz w:val="20"/>
              </w:rPr>
              <w:t>profit</w:t>
            </w:r>
          </w:p>
        </w:tc>
        <w:tc>
          <w:tcPr>
            <w:tcW w:w="1732" w:type="dxa"/>
          </w:tcPr>
          <w:p>
            <w:pPr>
              <w:pStyle w:val="TableParagraph"/>
              <w:ind w:right="156"/>
              <w:jc w:val="right"/>
              <w:rPr>
                <w:sz w:val="20"/>
              </w:rPr>
            </w:pPr>
            <w:r>
              <w:rPr>
                <w:color w:val="231F20"/>
                <w:spacing w:val="-2"/>
                <w:sz w:val="20"/>
              </w:rPr>
              <w:t>6,791,547.36</w:t>
            </w:r>
          </w:p>
        </w:tc>
        <w:tc>
          <w:tcPr>
            <w:tcW w:w="1657" w:type="dxa"/>
          </w:tcPr>
          <w:p>
            <w:pPr>
              <w:pStyle w:val="TableParagraph"/>
              <w:ind w:right="114"/>
              <w:jc w:val="right"/>
              <w:rPr>
                <w:sz w:val="20"/>
              </w:rPr>
            </w:pPr>
            <w:r>
              <w:rPr>
                <w:color w:val="231F20"/>
                <w:spacing w:val="-2"/>
                <w:sz w:val="20"/>
              </w:rPr>
              <w:t>13,654,392.02</w:t>
            </w:r>
          </w:p>
        </w:tc>
      </w:tr>
      <w:tr>
        <w:trPr>
          <w:trHeight w:val="391" w:hRule="atLeast"/>
        </w:trPr>
        <w:tc>
          <w:tcPr>
            <w:tcW w:w="413" w:type="dxa"/>
          </w:tcPr>
          <w:p>
            <w:pPr>
              <w:pStyle w:val="TableParagraph"/>
              <w:spacing w:line="210" w:lineRule="exact" w:before="161"/>
              <w:ind w:left="50"/>
              <w:rPr>
                <w:sz w:val="20"/>
              </w:rPr>
            </w:pPr>
            <w:r>
              <w:rPr>
                <w:color w:val="231F20"/>
                <w:spacing w:val="-5"/>
                <w:sz w:val="20"/>
              </w:rPr>
              <w:t>9.</w:t>
            </w:r>
          </w:p>
        </w:tc>
        <w:tc>
          <w:tcPr>
            <w:tcW w:w="3738" w:type="dxa"/>
          </w:tcPr>
          <w:p>
            <w:pPr>
              <w:pStyle w:val="TableParagraph"/>
              <w:spacing w:line="210" w:lineRule="exact" w:before="161"/>
              <w:ind w:left="203"/>
              <w:rPr>
                <w:sz w:val="20"/>
              </w:rPr>
            </w:pPr>
            <w:r>
              <w:rPr>
                <w:color w:val="231F20"/>
                <w:sz w:val="20"/>
              </w:rPr>
              <w:t>Credit</w:t>
            </w:r>
            <w:r>
              <w:rPr>
                <w:color w:val="231F20"/>
                <w:spacing w:val="33"/>
                <w:sz w:val="20"/>
              </w:rPr>
              <w:t> </w:t>
            </w:r>
            <w:r>
              <w:rPr>
                <w:color w:val="231F20"/>
                <w:sz w:val="20"/>
              </w:rPr>
              <w:t>rating:</w:t>
            </w:r>
            <w:r>
              <w:rPr>
                <w:color w:val="231F20"/>
                <w:spacing w:val="34"/>
                <w:sz w:val="20"/>
              </w:rPr>
              <w:t> </w:t>
            </w:r>
            <w:r>
              <w:rPr>
                <w:color w:val="231F20"/>
                <w:sz w:val="20"/>
              </w:rPr>
              <w:t>No</w:t>
            </w:r>
            <w:r>
              <w:rPr>
                <w:color w:val="231F20"/>
                <w:spacing w:val="33"/>
                <w:sz w:val="20"/>
              </w:rPr>
              <w:t> </w:t>
            </w:r>
            <w:r>
              <w:rPr>
                <w:color w:val="231F20"/>
                <w:sz w:val="20"/>
              </w:rPr>
              <w:t>external</w:t>
            </w:r>
            <w:r>
              <w:rPr>
                <w:color w:val="231F20"/>
                <w:spacing w:val="34"/>
                <w:sz w:val="20"/>
              </w:rPr>
              <w:t> </w:t>
            </w:r>
            <w:r>
              <w:rPr>
                <w:color w:val="231F20"/>
                <w:sz w:val="20"/>
              </w:rPr>
              <w:t>credit</w:t>
            </w:r>
            <w:r>
              <w:rPr>
                <w:color w:val="231F20"/>
                <w:spacing w:val="33"/>
                <w:sz w:val="20"/>
              </w:rPr>
              <w:t> </w:t>
            </w:r>
            <w:r>
              <w:rPr>
                <w:color w:val="231F20"/>
                <w:spacing w:val="-2"/>
                <w:sz w:val="20"/>
              </w:rPr>
              <w:t>rating</w:t>
            </w:r>
          </w:p>
        </w:tc>
        <w:tc>
          <w:tcPr>
            <w:tcW w:w="1732" w:type="dxa"/>
          </w:tcPr>
          <w:p>
            <w:pPr>
              <w:pStyle w:val="TableParagraph"/>
              <w:spacing w:before="0"/>
              <w:rPr>
                <w:sz w:val="20"/>
              </w:rPr>
            </w:pPr>
          </w:p>
        </w:tc>
        <w:tc>
          <w:tcPr>
            <w:tcW w:w="1657" w:type="dxa"/>
          </w:tcPr>
          <w:p>
            <w:pPr>
              <w:pStyle w:val="TableParagraph"/>
              <w:spacing w:before="0"/>
              <w:rPr>
                <w:sz w:val="20"/>
              </w:rPr>
            </w:pPr>
          </w:p>
        </w:tc>
      </w:tr>
    </w:tbl>
    <w:p>
      <w:pPr>
        <w:pStyle w:val="BodyText"/>
        <w:spacing w:before="102"/>
      </w:pPr>
    </w:p>
    <w:p>
      <w:pPr>
        <w:pStyle w:val="BodyText"/>
        <w:ind w:left="2410"/>
      </w:pPr>
      <w:r>
        <w:rPr>
          <w:color w:val="231F20"/>
        </w:rPr>
        <w:t>Upon</w:t>
      </w:r>
      <w:r>
        <w:rPr>
          <w:color w:val="231F20"/>
          <w:spacing w:val="34"/>
        </w:rPr>
        <w:t> </w:t>
      </w:r>
      <w:r>
        <w:rPr>
          <w:color w:val="231F20"/>
        </w:rPr>
        <w:t>verification,</w:t>
      </w:r>
      <w:r>
        <w:rPr>
          <w:color w:val="231F20"/>
          <w:spacing w:val="36"/>
        </w:rPr>
        <w:t> </w:t>
      </w:r>
      <w:r>
        <w:rPr>
          <w:color w:val="231F20"/>
        </w:rPr>
        <w:t>Anhui</w:t>
      </w:r>
      <w:r>
        <w:rPr>
          <w:color w:val="231F20"/>
          <w:spacing w:val="36"/>
        </w:rPr>
        <w:t> </w:t>
      </w:r>
      <w:r>
        <w:rPr>
          <w:color w:val="231F20"/>
        </w:rPr>
        <w:t>Jihong</w:t>
      </w:r>
      <w:r>
        <w:rPr>
          <w:color w:val="231F20"/>
          <w:spacing w:val="35"/>
        </w:rPr>
        <w:t> </w:t>
      </w:r>
      <w:r>
        <w:rPr>
          <w:color w:val="231F20"/>
        </w:rPr>
        <w:t>is</w:t>
      </w:r>
      <w:r>
        <w:rPr>
          <w:color w:val="231F20"/>
          <w:spacing w:val="36"/>
        </w:rPr>
        <w:t> </w:t>
      </w:r>
      <w:r>
        <w:rPr>
          <w:color w:val="231F20"/>
        </w:rPr>
        <w:t>not</w:t>
      </w:r>
      <w:r>
        <w:rPr>
          <w:color w:val="231F20"/>
          <w:spacing w:val="36"/>
        </w:rPr>
        <w:t> </w:t>
      </w:r>
      <w:r>
        <w:rPr>
          <w:color w:val="231F20"/>
        </w:rPr>
        <w:t>an</w:t>
      </w:r>
      <w:r>
        <w:rPr>
          <w:color w:val="231F20"/>
          <w:spacing w:val="35"/>
        </w:rPr>
        <w:t> </w:t>
      </w:r>
      <w:r>
        <w:rPr>
          <w:color w:val="231F20"/>
        </w:rPr>
        <w:t>untrustworthy</w:t>
      </w:r>
      <w:r>
        <w:rPr>
          <w:color w:val="231F20"/>
          <w:spacing w:val="36"/>
        </w:rPr>
        <w:t> </w:t>
      </w:r>
      <w:r>
        <w:rPr>
          <w:color w:val="231F20"/>
        </w:rPr>
        <w:t>judgment</w:t>
      </w:r>
      <w:r>
        <w:rPr>
          <w:color w:val="231F20"/>
          <w:spacing w:val="36"/>
        </w:rPr>
        <w:t> </w:t>
      </w:r>
      <w:r>
        <w:rPr>
          <w:color w:val="231F20"/>
          <w:spacing w:val="-2"/>
        </w:rPr>
        <w:t>defaulter.</w:t>
      </w:r>
    </w:p>
    <w:p>
      <w:pPr>
        <w:pStyle w:val="BodyText"/>
        <w:spacing w:before="48"/>
      </w:pPr>
    </w:p>
    <w:p>
      <w:pPr>
        <w:pStyle w:val="Heading5"/>
        <w:numPr>
          <w:ilvl w:val="0"/>
          <w:numId w:val="8"/>
        </w:numPr>
        <w:tabs>
          <w:tab w:pos="1843" w:val="left" w:leader="none"/>
        </w:tabs>
        <w:spacing w:line="240" w:lineRule="auto" w:before="0" w:after="0"/>
        <w:ind w:left="1843" w:right="0" w:hanging="567"/>
        <w:jc w:val="left"/>
        <w:rPr>
          <w:i/>
        </w:rPr>
      </w:pPr>
      <w:r>
        <w:rPr>
          <w:i/>
          <w:color w:val="231F20"/>
        </w:rPr>
        <w:t>VStar</w:t>
      </w:r>
      <w:r>
        <w:rPr>
          <w:i/>
          <w:color w:val="231F20"/>
          <w:spacing w:val="55"/>
          <w:w w:val="150"/>
        </w:rPr>
        <w:t> </w:t>
      </w:r>
      <w:r>
        <w:rPr>
          <w:i/>
          <w:color w:val="231F20"/>
        </w:rPr>
        <w:t>Packaging</w:t>
      </w:r>
      <w:r>
        <w:rPr>
          <w:i/>
          <w:color w:val="231F20"/>
          <w:spacing w:val="56"/>
          <w:w w:val="150"/>
        </w:rPr>
        <w:t> </w:t>
      </w:r>
      <w:r>
        <w:rPr>
          <w:i/>
          <w:color w:val="231F20"/>
        </w:rPr>
        <w:t>(China)</w:t>
      </w:r>
      <w:r>
        <w:rPr>
          <w:i/>
          <w:color w:val="231F20"/>
          <w:spacing w:val="56"/>
          <w:w w:val="150"/>
        </w:rPr>
        <w:t> </w:t>
      </w:r>
      <w:r>
        <w:rPr>
          <w:i/>
          <w:color w:val="231F20"/>
        </w:rPr>
        <w:t>Limited*</w:t>
      </w:r>
      <w:r>
        <w:rPr>
          <w:i/>
          <w:color w:val="231F20"/>
          <w:spacing w:val="55"/>
          <w:w w:val="150"/>
        </w:rPr>
        <w:t> </w:t>
      </w:r>
      <w:r>
        <w:rPr>
          <w:i/>
          <w:color w:val="231F20"/>
        </w:rPr>
        <w:t>(</w:t>
      </w:r>
      <w:r>
        <w:rPr>
          <w:rFonts w:ascii="Microsoft YaHei" w:eastAsia="Microsoft YaHei"/>
          <w:color w:val="231F20"/>
        </w:rPr>
        <w:t>孝感市吉聯食品包裝有限公司</w:t>
      </w:r>
      <w:r>
        <w:rPr>
          <w:i/>
          <w:color w:val="231F20"/>
          <w:spacing w:val="-10"/>
        </w:rPr>
        <w:t>)</w:t>
      </w:r>
    </w:p>
    <w:p>
      <w:pPr>
        <w:pStyle w:val="BodyText"/>
        <w:spacing w:before="39"/>
        <w:rPr>
          <w:b/>
          <w:i/>
        </w:rPr>
      </w:pPr>
    </w:p>
    <w:p>
      <w:pPr>
        <w:pStyle w:val="ListParagraph"/>
        <w:numPr>
          <w:ilvl w:val="1"/>
          <w:numId w:val="8"/>
        </w:numPr>
        <w:tabs>
          <w:tab w:pos="2410" w:val="left" w:leader="none"/>
        </w:tabs>
        <w:spacing w:line="252" w:lineRule="auto" w:before="0" w:after="0"/>
        <w:ind w:left="2410" w:right="135" w:hanging="567"/>
        <w:jc w:val="left"/>
        <w:rPr>
          <w:sz w:val="20"/>
        </w:rPr>
      </w:pPr>
      <w:r>
        <w:rPr>
          <w:color w:val="231F20"/>
          <w:sz w:val="20"/>
        </w:rPr>
        <w:t>Company</w:t>
      </w:r>
      <w:r>
        <w:rPr>
          <w:color w:val="231F20"/>
          <w:spacing w:val="40"/>
          <w:sz w:val="20"/>
        </w:rPr>
        <w:t> </w:t>
      </w:r>
      <w:r>
        <w:rPr>
          <w:color w:val="231F20"/>
          <w:sz w:val="20"/>
        </w:rPr>
        <w:t>name</w:t>
      </w:r>
      <w:r>
        <w:rPr>
          <w:color w:val="231F20"/>
          <w:spacing w:val="20"/>
          <w:sz w:val="20"/>
        </w:rPr>
        <w:t>: </w:t>
      </w:r>
      <w:r>
        <w:rPr>
          <w:color w:val="231F20"/>
          <w:sz w:val="20"/>
        </w:rPr>
        <w:t>VStar</w:t>
      </w:r>
      <w:r>
        <w:rPr>
          <w:color w:val="231F20"/>
          <w:spacing w:val="40"/>
          <w:sz w:val="20"/>
        </w:rPr>
        <w:t> </w:t>
      </w:r>
      <w:r>
        <w:rPr>
          <w:color w:val="231F20"/>
          <w:sz w:val="20"/>
        </w:rPr>
        <w:t>Packaging</w:t>
      </w:r>
      <w:r>
        <w:rPr>
          <w:color w:val="231F20"/>
          <w:spacing w:val="40"/>
          <w:sz w:val="20"/>
        </w:rPr>
        <w:t> </w:t>
      </w:r>
      <w:r>
        <w:rPr>
          <w:color w:val="231F20"/>
          <w:sz w:val="20"/>
        </w:rPr>
        <w:t>(China</w:t>
      </w:r>
      <w:r>
        <w:rPr>
          <w:color w:val="231F20"/>
          <w:spacing w:val="20"/>
          <w:sz w:val="20"/>
        </w:rPr>
        <w:t>) </w:t>
      </w:r>
      <w:r>
        <w:rPr>
          <w:color w:val="231F20"/>
          <w:sz w:val="20"/>
        </w:rPr>
        <w:t>Limited*</w:t>
      </w:r>
      <w:r>
        <w:rPr>
          <w:color w:val="231F20"/>
          <w:spacing w:val="20"/>
          <w:sz w:val="20"/>
        </w:rPr>
        <w:t> (</w:t>
      </w:r>
      <w:r>
        <w:rPr>
          <w:rFonts w:ascii="新細明體" w:eastAsia="新細明體"/>
          <w:color w:val="231F20"/>
          <w:sz w:val="20"/>
        </w:rPr>
        <w:t>孝感市吉聯食品包裝有限</w:t>
      </w:r>
      <w:r>
        <w:rPr>
          <w:rFonts w:ascii="新細明體" w:eastAsia="新細明體"/>
          <w:color w:val="231F20"/>
          <w:spacing w:val="-4"/>
          <w:sz w:val="20"/>
        </w:rPr>
        <w:t>公司</w:t>
      </w:r>
      <w:r>
        <w:rPr>
          <w:color w:val="231F20"/>
          <w:spacing w:val="-4"/>
          <w:sz w:val="20"/>
        </w:rPr>
        <w:t>)</w:t>
      </w:r>
    </w:p>
    <w:p>
      <w:pPr>
        <w:pStyle w:val="BodyText"/>
        <w:spacing w:before="51"/>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Date</w:t>
      </w:r>
      <w:r>
        <w:rPr>
          <w:color w:val="231F20"/>
          <w:spacing w:val="33"/>
          <w:sz w:val="20"/>
        </w:rPr>
        <w:t> </w:t>
      </w:r>
      <w:r>
        <w:rPr>
          <w:color w:val="231F20"/>
          <w:sz w:val="20"/>
        </w:rPr>
        <w:t>of</w:t>
      </w:r>
      <w:r>
        <w:rPr>
          <w:color w:val="231F20"/>
          <w:spacing w:val="33"/>
          <w:sz w:val="20"/>
        </w:rPr>
        <w:t> </w:t>
      </w:r>
      <w:r>
        <w:rPr>
          <w:color w:val="231F20"/>
          <w:sz w:val="20"/>
        </w:rPr>
        <w:t>establishment:</w:t>
      </w:r>
      <w:r>
        <w:rPr>
          <w:color w:val="231F20"/>
          <w:spacing w:val="33"/>
          <w:sz w:val="20"/>
        </w:rPr>
        <w:t> </w:t>
      </w:r>
      <w:r>
        <w:rPr>
          <w:color w:val="231F20"/>
          <w:sz w:val="20"/>
        </w:rPr>
        <w:t>August</w:t>
      </w:r>
      <w:r>
        <w:rPr>
          <w:color w:val="231F20"/>
          <w:spacing w:val="33"/>
          <w:sz w:val="20"/>
        </w:rPr>
        <w:t> </w:t>
      </w:r>
      <w:r>
        <w:rPr>
          <w:color w:val="231F20"/>
          <w:sz w:val="20"/>
        </w:rPr>
        <w:t>9,</w:t>
      </w:r>
      <w:r>
        <w:rPr>
          <w:color w:val="231F20"/>
          <w:spacing w:val="33"/>
          <w:sz w:val="20"/>
        </w:rPr>
        <w:t> </w:t>
      </w:r>
      <w:r>
        <w:rPr>
          <w:color w:val="231F20"/>
          <w:spacing w:val="-4"/>
          <w:sz w:val="20"/>
        </w:rPr>
        <w:t>2019</w:t>
      </w:r>
    </w:p>
    <w:p>
      <w:pPr>
        <w:pStyle w:val="BodyText"/>
        <w:spacing w:before="100"/>
      </w:pPr>
    </w:p>
    <w:p>
      <w:pPr>
        <w:pStyle w:val="ListParagraph"/>
        <w:numPr>
          <w:ilvl w:val="1"/>
          <w:numId w:val="8"/>
        </w:numPr>
        <w:tabs>
          <w:tab w:pos="2410" w:val="left" w:leader="none"/>
        </w:tabs>
        <w:spacing w:line="292" w:lineRule="auto" w:before="0" w:after="0"/>
        <w:ind w:left="2410" w:right="136" w:hanging="567"/>
        <w:jc w:val="left"/>
        <w:rPr>
          <w:sz w:val="20"/>
        </w:rPr>
      </w:pPr>
      <w:r>
        <w:rPr>
          <w:color w:val="231F20"/>
          <w:sz w:val="20"/>
        </w:rPr>
        <w:t>Place of registration: No. 169 Juxian Road, Xiaohan Avenue, High-tech Industrial</w:t>
      </w:r>
      <w:r>
        <w:rPr>
          <w:color w:val="231F20"/>
          <w:spacing w:val="40"/>
          <w:sz w:val="20"/>
        </w:rPr>
        <w:t> </w:t>
      </w:r>
      <w:r>
        <w:rPr>
          <w:color w:val="231F20"/>
          <w:sz w:val="20"/>
        </w:rPr>
        <w:t>Development</w:t>
      </w:r>
      <w:r>
        <w:rPr>
          <w:color w:val="231F20"/>
          <w:spacing w:val="40"/>
          <w:sz w:val="20"/>
        </w:rPr>
        <w:t> </w:t>
      </w:r>
      <w:r>
        <w:rPr>
          <w:color w:val="231F20"/>
          <w:sz w:val="20"/>
        </w:rPr>
        <w:t>Zone,</w:t>
      </w:r>
      <w:r>
        <w:rPr>
          <w:color w:val="231F20"/>
          <w:spacing w:val="40"/>
          <w:sz w:val="20"/>
        </w:rPr>
        <w:t> </w:t>
      </w:r>
      <w:r>
        <w:rPr>
          <w:color w:val="231F20"/>
          <w:sz w:val="20"/>
        </w:rPr>
        <w:t>Xiaogan</w:t>
      </w:r>
      <w:r>
        <w:rPr>
          <w:color w:val="231F20"/>
          <w:spacing w:val="40"/>
          <w:sz w:val="20"/>
        </w:rPr>
        <w:t> </w:t>
      </w:r>
      <w:r>
        <w:rPr>
          <w:color w:val="231F20"/>
          <w:sz w:val="20"/>
        </w:rPr>
        <w:t>City,</w:t>
      </w:r>
      <w:r>
        <w:rPr>
          <w:color w:val="231F20"/>
          <w:spacing w:val="40"/>
          <w:sz w:val="20"/>
        </w:rPr>
        <w:t> </w:t>
      </w:r>
      <w:r>
        <w:rPr>
          <w:color w:val="231F20"/>
          <w:sz w:val="20"/>
        </w:rPr>
        <w:t>Hubei</w:t>
      </w:r>
      <w:r>
        <w:rPr>
          <w:color w:val="231F20"/>
          <w:spacing w:val="40"/>
          <w:sz w:val="20"/>
        </w:rPr>
        <w:t> </w:t>
      </w:r>
      <w:r>
        <w:rPr>
          <w:color w:val="231F20"/>
          <w:sz w:val="20"/>
        </w:rPr>
        <w:t>Province</w:t>
      </w:r>
    </w:p>
    <w:p>
      <w:pPr>
        <w:pStyle w:val="BodyText"/>
        <w:spacing w:before="49"/>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Registered</w:t>
      </w:r>
      <w:r>
        <w:rPr>
          <w:color w:val="231F20"/>
          <w:spacing w:val="43"/>
          <w:sz w:val="20"/>
        </w:rPr>
        <w:t> </w:t>
      </w:r>
      <w:r>
        <w:rPr>
          <w:color w:val="231F20"/>
          <w:sz w:val="20"/>
        </w:rPr>
        <w:t>capital:</w:t>
      </w:r>
      <w:r>
        <w:rPr>
          <w:color w:val="231F20"/>
          <w:spacing w:val="43"/>
          <w:sz w:val="20"/>
        </w:rPr>
        <w:t> </w:t>
      </w:r>
      <w:r>
        <w:rPr>
          <w:color w:val="231F20"/>
          <w:sz w:val="20"/>
        </w:rPr>
        <w:t>RMB20</w:t>
      </w:r>
      <w:r>
        <w:rPr>
          <w:color w:val="231F20"/>
          <w:spacing w:val="44"/>
          <w:sz w:val="20"/>
        </w:rPr>
        <w:t> </w:t>
      </w:r>
      <w:r>
        <w:rPr>
          <w:color w:val="231F20"/>
          <w:spacing w:val="-2"/>
          <w:sz w:val="20"/>
        </w:rPr>
        <w:t>million</w:t>
      </w:r>
    </w:p>
    <w:p>
      <w:pPr>
        <w:pStyle w:val="BodyText"/>
        <w:spacing w:before="100"/>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Legal</w:t>
      </w:r>
      <w:r>
        <w:rPr>
          <w:color w:val="231F20"/>
          <w:spacing w:val="46"/>
          <w:sz w:val="20"/>
        </w:rPr>
        <w:t> </w:t>
      </w:r>
      <w:r>
        <w:rPr>
          <w:color w:val="231F20"/>
          <w:sz w:val="20"/>
        </w:rPr>
        <w:t>representative:</w:t>
      </w:r>
      <w:r>
        <w:rPr>
          <w:color w:val="231F20"/>
          <w:spacing w:val="47"/>
          <w:sz w:val="20"/>
        </w:rPr>
        <w:t> </w:t>
      </w:r>
      <w:r>
        <w:rPr>
          <w:color w:val="231F20"/>
          <w:sz w:val="20"/>
        </w:rPr>
        <w:t>Zhang</w:t>
      </w:r>
      <w:r>
        <w:rPr>
          <w:color w:val="231F20"/>
          <w:spacing w:val="47"/>
          <w:sz w:val="20"/>
        </w:rPr>
        <w:t> </w:t>
      </w:r>
      <w:r>
        <w:rPr>
          <w:color w:val="231F20"/>
          <w:spacing w:val="-2"/>
          <w:sz w:val="20"/>
        </w:rPr>
        <w:t>Heping</w:t>
      </w:r>
    </w:p>
    <w:p>
      <w:pPr>
        <w:pStyle w:val="ListParagraph"/>
        <w:spacing w:after="0" w:line="240" w:lineRule="auto"/>
        <w:jc w:val="left"/>
        <w:rPr>
          <w:sz w:val="20"/>
        </w:rPr>
        <w:sectPr>
          <w:pgSz w:w="11910" w:h="15880"/>
          <w:pgMar w:header="567" w:footer="573" w:top="1300" w:bottom="760" w:left="1275" w:right="1275"/>
        </w:sectPr>
      </w:pPr>
    </w:p>
    <w:p>
      <w:pPr>
        <w:pStyle w:val="BodyText"/>
        <w:spacing w:before="144"/>
      </w:pPr>
    </w:p>
    <w:p>
      <w:pPr>
        <w:pStyle w:val="ListParagraph"/>
        <w:numPr>
          <w:ilvl w:val="1"/>
          <w:numId w:val="8"/>
        </w:numPr>
        <w:tabs>
          <w:tab w:pos="2410" w:val="left" w:leader="none"/>
        </w:tabs>
        <w:spacing w:line="292" w:lineRule="auto" w:before="1" w:after="0"/>
        <w:ind w:left="2410" w:right="129" w:hanging="567"/>
        <w:jc w:val="both"/>
        <w:rPr>
          <w:sz w:val="20"/>
        </w:rPr>
      </w:pPr>
      <w:r>
        <w:rPr>
          <w:color w:val="231F20"/>
          <w:sz w:val="20"/>
        </w:rPr>
        <w:t>Scope of business: research and development, production, and sales of food packaging</w:t>
      </w:r>
      <w:r>
        <w:rPr>
          <w:color w:val="231F20"/>
          <w:spacing w:val="40"/>
          <w:sz w:val="20"/>
        </w:rPr>
        <w:t> </w:t>
      </w:r>
      <w:r>
        <w:rPr>
          <w:color w:val="231F20"/>
          <w:sz w:val="20"/>
        </w:rPr>
        <w:t>materials</w:t>
      </w:r>
      <w:r>
        <w:rPr>
          <w:color w:val="231F20"/>
          <w:spacing w:val="40"/>
          <w:sz w:val="20"/>
        </w:rPr>
        <w:t> </w:t>
      </w:r>
      <w:r>
        <w:rPr>
          <w:color w:val="231F20"/>
          <w:sz w:val="20"/>
        </w:rPr>
        <w:t>and</w:t>
      </w:r>
      <w:r>
        <w:rPr>
          <w:color w:val="231F20"/>
          <w:spacing w:val="40"/>
          <w:sz w:val="20"/>
        </w:rPr>
        <w:t> </w:t>
      </w:r>
      <w:r>
        <w:rPr>
          <w:color w:val="231F20"/>
          <w:sz w:val="20"/>
        </w:rPr>
        <w:t>paper</w:t>
      </w:r>
      <w:r>
        <w:rPr>
          <w:color w:val="231F20"/>
          <w:spacing w:val="40"/>
          <w:sz w:val="20"/>
        </w:rPr>
        <w:t> </w:t>
      </w:r>
      <w:r>
        <w:rPr>
          <w:color w:val="231F20"/>
          <w:sz w:val="20"/>
        </w:rPr>
        <w:t>products</w:t>
      </w:r>
      <w:r>
        <w:rPr>
          <w:color w:val="231F20"/>
          <w:spacing w:val="40"/>
          <w:sz w:val="20"/>
        </w:rPr>
        <w:t> </w:t>
      </w:r>
      <w:r>
        <w:rPr>
          <w:color w:val="231F20"/>
          <w:sz w:val="20"/>
        </w:rPr>
        <w:t>(excluding</w:t>
      </w:r>
      <w:r>
        <w:rPr>
          <w:color w:val="231F20"/>
          <w:spacing w:val="40"/>
          <w:sz w:val="20"/>
        </w:rPr>
        <w:t> </w:t>
      </w:r>
      <w:r>
        <w:rPr>
          <w:color w:val="231F20"/>
          <w:sz w:val="20"/>
        </w:rPr>
        <w:t>publications);</w:t>
      </w:r>
      <w:r>
        <w:rPr>
          <w:color w:val="231F20"/>
          <w:spacing w:val="40"/>
          <w:sz w:val="20"/>
        </w:rPr>
        <w:t> </w:t>
      </w:r>
      <w:r>
        <w:rPr>
          <w:color w:val="231F20"/>
          <w:sz w:val="20"/>
        </w:rPr>
        <w:t>printing</w:t>
      </w:r>
      <w:r>
        <w:rPr>
          <w:color w:val="231F20"/>
          <w:spacing w:val="40"/>
          <w:sz w:val="20"/>
        </w:rPr>
        <w:t> </w:t>
      </w:r>
      <w:r>
        <w:rPr>
          <w:color w:val="231F20"/>
          <w:sz w:val="20"/>
        </w:rPr>
        <w:t>and sales of other printed materials; wholesale of plastic products, printing machinery and</w:t>
      </w:r>
      <w:r>
        <w:rPr>
          <w:color w:val="231F20"/>
          <w:spacing w:val="40"/>
          <w:sz w:val="20"/>
        </w:rPr>
        <w:t> </w:t>
      </w:r>
      <w:r>
        <w:rPr>
          <w:color w:val="231F20"/>
          <w:sz w:val="20"/>
        </w:rPr>
        <w:t>parts,</w:t>
      </w:r>
      <w:r>
        <w:rPr>
          <w:color w:val="231F20"/>
          <w:spacing w:val="40"/>
          <w:sz w:val="20"/>
        </w:rPr>
        <w:t> </w:t>
      </w:r>
      <w:r>
        <w:rPr>
          <w:color w:val="231F20"/>
          <w:sz w:val="20"/>
        </w:rPr>
        <w:t>stationery</w:t>
      </w:r>
      <w:r>
        <w:rPr>
          <w:color w:val="231F20"/>
          <w:spacing w:val="40"/>
          <w:sz w:val="20"/>
        </w:rPr>
        <w:t> </w:t>
      </w:r>
      <w:r>
        <w:rPr>
          <w:color w:val="231F20"/>
          <w:sz w:val="20"/>
        </w:rPr>
        <w:t>supplies</w:t>
      </w:r>
      <w:r>
        <w:rPr>
          <w:color w:val="231F20"/>
          <w:spacing w:val="40"/>
          <w:sz w:val="20"/>
        </w:rPr>
        <w:t> </w:t>
      </w:r>
      <w:r>
        <w:rPr>
          <w:color w:val="231F20"/>
          <w:sz w:val="20"/>
        </w:rPr>
        <w:t>(excluding</w:t>
      </w:r>
      <w:r>
        <w:rPr>
          <w:color w:val="231F20"/>
          <w:spacing w:val="40"/>
          <w:sz w:val="20"/>
        </w:rPr>
        <w:t> </w:t>
      </w:r>
      <w:r>
        <w:rPr>
          <w:color w:val="231F20"/>
          <w:sz w:val="20"/>
        </w:rPr>
        <w:t>publications);</w:t>
      </w:r>
      <w:r>
        <w:rPr>
          <w:color w:val="231F20"/>
          <w:spacing w:val="40"/>
          <w:sz w:val="20"/>
        </w:rPr>
        <w:t> </w:t>
      </w:r>
      <w:r>
        <w:rPr>
          <w:color w:val="231F20"/>
          <w:sz w:val="20"/>
        </w:rPr>
        <w:t>import</w:t>
      </w:r>
      <w:r>
        <w:rPr>
          <w:color w:val="231F20"/>
          <w:spacing w:val="40"/>
          <w:sz w:val="20"/>
        </w:rPr>
        <w:t> </w:t>
      </w:r>
      <w:r>
        <w:rPr>
          <w:color w:val="231F20"/>
          <w:sz w:val="20"/>
        </w:rPr>
        <w:t>and</w:t>
      </w:r>
      <w:r>
        <w:rPr>
          <w:color w:val="231F20"/>
          <w:spacing w:val="40"/>
          <w:sz w:val="20"/>
        </w:rPr>
        <w:t> </w:t>
      </w:r>
      <w:r>
        <w:rPr>
          <w:color w:val="231F20"/>
          <w:sz w:val="20"/>
        </w:rPr>
        <w:t>export</w:t>
      </w:r>
      <w:r>
        <w:rPr>
          <w:color w:val="231F20"/>
          <w:spacing w:val="40"/>
          <w:sz w:val="20"/>
        </w:rPr>
        <w:t> </w:t>
      </w:r>
      <w:r>
        <w:rPr>
          <w:color w:val="231F20"/>
          <w:sz w:val="20"/>
        </w:rPr>
        <w:t>of goods</w:t>
      </w:r>
      <w:r>
        <w:rPr>
          <w:color w:val="231F20"/>
          <w:spacing w:val="40"/>
          <w:sz w:val="20"/>
        </w:rPr>
        <w:t> </w:t>
      </w:r>
      <w:r>
        <w:rPr>
          <w:color w:val="231F20"/>
          <w:sz w:val="20"/>
        </w:rPr>
        <w:t>or</w:t>
      </w:r>
      <w:r>
        <w:rPr>
          <w:color w:val="231F20"/>
          <w:spacing w:val="40"/>
          <w:sz w:val="20"/>
        </w:rPr>
        <w:t> </w:t>
      </w:r>
      <w:r>
        <w:rPr>
          <w:color w:val="231F20"/>
          <w:sz w:val="20"/>
        </w:rPr>
        <w:t>technologies</w:t>
      </w:r>
      <w:r>
        <w:rPr>
          <w:color w:val="231F20"/>
          <w:spacing w:val="40"/>
          <w:sz w:val="20"/>
        </w:rPr>
        <w:t> </w:t>
      </w:r>
      <w:r>
        <w:rPr>
          <w:color w:val="231F20"/>
          <w:sz w:val="20"/>
        </w:rPr>
        <w:t>(except</w:t>
      </w:r>
      <w:r>
        <w:rPr>
          <w:color w:val="231F20"/>
          <w:spacing w:val="40"/>
          <w:sz w:val="20"/>
        </w:rPr>
        <w:t> </w:t>
      </w:r>
      <w:r>
        <w:rPr>
          <w:color w:val="231F20"/>
          <w:sz w:val="20"/>
        </w:rPr>
        <w:t>for</w:t>
      </w:r>
      <w:r>
        <w:rPr>
          <w:color w:val="231F20"/>
          <w:spacing w:val="40"/>
          <w:sz w:val="20"/>
        </w:rPr>
        <w:t> </w:t>
      </w:r>
      <w:r>
        <w:rPr>
          <w:color w:val="231F20"/>
          <w:sz w:val="20"/>
        </w:rPr>
        <w:t>goods</w:t>
      </w:r>
      <w:r>
        <w:rPr>
          <w:color w:val="231F20"/>
          <w:spacing w:val="40"/>
          <w:sz w:val="20"/>
        </w:rPr>
        <w:t> </w:t>
      </w:r>
      <w:r>
        <w:rPr>
          <w:color w:val="231F20"/>
          <w:sz w:val="20"/>
        </w:rPr>
        <w:t>and</w:t>
      </w:r>
      <w:r>
        <w:rPr>
          <w:color w:val="231F20"/>
          <w:spacing w:val="40"/>
          <w:sz w:val="20"/>
        </w:rPr>
        <w:t> </w:t>
      </w:r>
      <w:r>
        <w:rPr>
          <w:color w:val="231F20"/>
          <w:sz w:val="20"/>
        </w:rPr>
        <w:t>technologies</w:t>
      </w:r>
      <w:r>
        <w:rPr>
          <w:color w:val="231F20"/>
          <w:spacing w:val="40"/>
          <w:sz w:val="20"/>
        </w:rPr>
        <w:t> </w:t>
      </w:r>
      <w:r>
        <w:rPr>
          <w:color w:val="231F20"/>
          <w:sz w:val="20"/>
        </w:rPr>
        <w:t>prohibited</w:t>
      </w:r>
      <w:r>
        <w:rPr>
          <w:color w:val="231F20"/>
          <w:spacing w:val="40"/>
          <w:sz w:val="20"/>
        </w:rPr>
        <w:t> </w:t>
      </w:r>
      <w:r>
        <w:rPr>
          <w:color w:val="231F20"/>
          <w:sz w:val="20"/>
        </w:rPr>
        <w:t>or</w:t>
      </w:r>
      <w:r>
        <w:rPr>
          <w:color w:val="231F20"/>
          <w:spacing w:val="40"/>
          <w:sz w:val="20"/>
        </w:rPr>
        <w:t> </w:t>
      </w:r>
      <w:r>
        <w:rPr>
          <w:color w:val="231F20"/>
          <w:sz w:val="20"/>
        </w:rPr>
        <w:t>subject to administrative approval by the government). (Business activities subject to approval according to law may be carried out only after approval by relevant </w:t>
      </w:r>
      <w:r>
        <w:rPr>
          <w:color w:val="231F20"/>
          <w:spacing w:val="-2"/>
          <w:sz w:val="20"/>
        </w:rPr>
        <w:t>departments)</w:t>
      </w:r>
    </w:p>
    <w:p>
      <w:pPr>
        <w:pStyle w:val="BodyText"/>
        <w:spacing w:before="45"/>
      </w:pPr>
    </w:p>
    <w:p>
      <w:pPr>
        <w:pStyle w:val="ListParagraph"/>
        <w:numPr>
          <w:ilvl w:val="1"/>
          <w:numId w:val="8"/>
        </w:numPr>
        <w:tabs>
          <w:tab w:pos="2410" w:val="left" w:leader="none"/>
        </w:tabs>
        <w:spacing w:line="292" w:lineRule="auto" w:before="0" w:after="0"/>
        <w:ind w:left="2410" w:right="135" w:hanging="567"/>
        <w:jc w:val="both"/>
        <w:rPr>
          <w:sz w:val="20"/>
        </w:rPr>
      </w:pPr>
      <w:r>
        <w:rPr>
          <w:color w:val="231F20"/>
          <w:sz w:val="20"/>
        </w:rPr>
        <w:t>Related party relationship or business association with the Company: a </w:t>
      </w:r>
      <w:r>
        <w:rPr>
          <w:color w:val="231F20"/>
          <w:sz w:val="20"/>
        </w:rPr>
        <w:t>wholly- owned subsidiary of the Company</w:t>
      </w:r>
    </w:p>
    <w:p>
      <w:pPr>
        <w:pStyle w:val="BodyText"/>
        <w:spacing w:before="49"/>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Key</w:t>
      </w:r>
      <w:r>
        <w:rPr>
          <w:color w:val="231F20"/>
          <w:spacing w:val="29"/>
          <w:sz w:val="20"/>
        </w:rPr>
        <w:t> </w:t>
      </w:r>
      <w:r>
        <w:rPr>
          <w:color w:val="231F20"/>
          <w:sz w:val="20"/>
        </w:rPr>
        <w:t>financial</w:t>
      </w:r>
      <w:r>
        <w:rPr>
          <w:color w:val="231F20"/>
          <w:spacing w:val="30"/>
          <w:sz w:val="20"/>
        </w:rPr>
        <w:t> </w:t>
      </w:r>
      <w:r>
        <w:rPr>
          <w:color w:val="231F20"/>
          <w:sz w:val="20"/>
        </w:rPr>
        <w:t>data</w:t>
      </w:r>
      <w:r>
        <w:rPr>
          <w:color w:val="231F20"/>
          <w:spacing w:val="30"/>
          <w:sz w:val="20"/>
        </w:rPr>
        <w:t> </w:t>
      </w:r>
      <w:r>
        <w:rPr>
          <w:color w:val="231F20"/>
          <w:sz w:val="20"/>
        </w:rPr>
        <w:t>for</w:t>
      </w:r>
      <w:r>
        <w:rPr>
          <w:color w:val="231F20"/>
          <w:spacing w:val="29"/>
          <w:sz w:val="20"/>
        </w:rPr>
        <w:t> </w:t>
      </w:r>
      <w:r>
        <w:rPr>
          <w:color w:val="231F20"/>
          <w:sz w:val="20"/>
        </w:rPr>
        <w:t>the</w:t>
      </w:r>
      <w:r>
        <w:rPr>
          <w:color w:val="231F20"/>
          <w:spacing w:val="30"/>
          <w:sz w:val="20"/>
        </w:rPr>
        <w:t> </w:t>
      </w:r>
      <w:r>
        <w:rPr>
          <w:color w:val="231F20"/>
          <w:sz w:val="20"/>
        </w:rPr>
        <w:t>latest</w:t>
      </w:r>
      <w:r>
        <w:rPr>
          <w:color w:val="231F20"/>
          <w:spacing w:val="30"/>
          <w:sz w:val="20"/>
        </w:rPr>
        <w:t> </w:t>
      </w:r>
      <w:r>
        <w:rPr>
          <w:color w:val="231F20"/>
          <w:sz w:val="20"/>
        </w:rPr>
        <w:t>financial</w:t>
      </w:r>
      <w:r>
        <w:rPr>
          <w:color w:val="231F20"/>
          <w:spacing w:val="29"/>
          <w:sz w:val="20"/>
        </w:rPr>
        <w:t> </w:t>
      </w:r>
      <w:r>
        <w:rPr>
          <w:color w:val="231F20"/>
          <w:sz w:val="20"/>
        </w:rPr>
        <w:t>year</w:t>
      </w:r>
      <w:r>
        <w:rPr>
          <w:color w:val="231F20"/>
          <w:spacing w:val="30"/>
          <w:sz w:val="20"/>
        </w:rPr>
        <w:t> </w:t>
      </w:r>
      <w:r>
        <w:rPr>
          <w:color w:val="231F20"/>
          <w:sz w:val="20"/>
        </w:rPr>
        <w:t>and</w:t>
      </w:r>
      <w:r>
        <w:rPr>
          <w:color w:val="231F20"/>
          <w:spacing w:val="30"/>
          <w:sz w:val="20"/>
        </w:rPr>
        <w:t> </w:t>
      </w:r>
      <w:r>
        <w:rPr>
          <w:color w:val="231F20"/>
          <w:sz w:val="20"/>
        </w:rPr>
        <w:t>the</w:t>
      </w:r>
      <w:r>
        <w:rPr>
          <w:color w:val="231F20"/>
          <w:spacing w:val="29"/>
          <w:sz w:val="20"/>
        </w:rPr>
        <w:t> </w:t>
      </w:r>
      <w:r>
        <w:rPr>
          <w:color w:val="231F20"/>
          <w:sz w:val="20"/>
        </w:rPr>
        <w:t>subsequent</w:t>
      </w:r>
      <w:r>
        <w:rPr>
          <w:color w:val="231F20"/>
          <w:spacing w:val="30"/>
          <w:sz w:val="20"/>
        </w:rPr>
        <w:t> </w:t>
      </w:r>
      <w:r>
        <w:rPr>
          <w:color w:val="231F20"/>
          <w:sz w:val="20"/>
        </w:rPr>
        <w:t>interim</w:t>
      </w:r>
      <w:r>
        <w:rPr>
          <w:color w:val="231F20"/>
          <w:spacing w:val="30"/>
          <w:sz w:val="20"/>
        </w:rPr>
        <w:t> </w:t>
      </w:r>
      <w:r>
        <w:rPr>
          <w:color w:val="231F20"/>
          <w:spacing w:val="-2"/>
          <w:sz w:val="20"/>
        </w:rPr>
        <w:t>period</w:t>
      </w:r>
    </w:p>
    <w:p>
      <w:pPr>
        <w:pStyle w:val="BodyText"/>
        <w:spacing w:before="10"/>
        <w:rPr>
          <w:sz w:val="19"/>
        </w:rPr>
      </w:pPr>
    </w:p>
    <w:p>
      <w:pPr>
        <w:pStyle w:val="BodyText"/>
        <w:spacing w:after="0"/>
        <w:rPr>
          <w:sz w:val="19"/>
        </w:rPr>
        <w:sectPr>
          <w:pgSz w:w="11910" w:h="15880"/>
          <w:pgMar w:header="567" w:footer="573" w:top="1300" w:bottom="760" w:left="1275" w:right="1275"/>
        </w:sectPr>
      </w:pPr>
    </w:p>
    <w:p>
      <w:pPr>
        <w:pStyle w:val="BodyText"/>
      </w:pPr>
    </w:p>
    <w:p>
      <w:pPr>
        <w:pStyle w:val="BodyText"/>
      </w:pPr>
    </w:p>
    <w:p>
      <w:pPr>
        <w:pStyle w:val="BodyText"/>
      </w:pPr>
    </w:p>
    <w:p>
      <w:pPr>
        <w:pStyle w:val="BodyText"/>
      </w:pPr>
    </w:p>
    <w:p>
      <w:pPr>
        <w:pStyle w:val="BodyText"/>
      </w:pPr>
    </w:p>
    <w:p>
      <w:pPr>
        <w:pStyle w:val="BodyText"/>
      </w:pPr>
    </w:p>
    <w:p>
      <w:pPr>
        <w:pStyle w:val="BodyText"/>
        <w:spacing w:before="171"/>
      </w:pPr>
    </w:p>
    <w:p>
      <w:pPr>
        <w:spacing w:before="1"/>
        <w:ind w:left="0" w:right="38" w:firstLine="0"/>
        <w:jc w:val="right"/>
        <w:rPr>
          <w:b/>
          <w:sz w:val="20"/>
        </w:rPr>
      </w:pPr>
      <w:r>
        <w:rPr>
          <w:b/>
          <w:color w:val="231F20"/>
          <w:spacing w:val="-2"/>
          <w:sz w:val="20"/>
        </w:rPr>
        <w:t>Items</w:t>
      </w:r>
    </w:p>
    <w:p>
      <w:pPr>
        <w:spacing w:line="240" w:lineRule="auto" w:before="151"/>
        <w:rPr>
          <w:b/>
          <w:sz w:val="20"/>
        </w:rPr>
      </w:pPr>
      <w:r>
        <w:rPr/>
        <w:br w:type="column"/>
      </w:r>
      <w:r>
        <w:rPr>
          <w:b/>
          <w:sz w:val="20"/>
        </w:rPr>
      </w:r>
    </w:p>
    <w:p>
      <w:pPr>
        <w:spacing w:line="292" w:lineRule="auto" w:before="1"/>
        <w:ind w:left="2410" w:right="64" w:firstLine="839"/>
        <w:jc w:val="right"/>
        <w:rPr>
          <w:b/>
          <w:sz w:val="20"/>
        </w:rPr>
      </w:pPr>
      <w:r>
        <w:rPr>
          <w:b/>
          <w:color w:val="231F20"/>
          <w:sz w:val="20"/>
        </w:rPr>
        <w:t>As</w:t>
      </w:r>
      <w:r>
        <w:rPr>
          <w:b/>
          <w:color w:val="231F20"/>
          <w:spacing w:val="-11"/>
          <w:sz w:val="20"/>
        </w:rPr>
        <w:t> </w:t>
      </w:r>
      <w:r>
        <w:rPr>
          <w:b/>
          <w:color w:val="231F20"/>
          <w:sz w:val="20"/>
        </w:rPr>
        <w:t>at June 30, 2025/ For the period from January to June 2025</w:t>
      </w:r>
    </w:p>
    <w:p>
      <w:pPr>
        <w:spacing w:line="227" w:lineRule="exact" w:before="0"/>
        <w:ind w:left="0" w:right="0" w:firstLine="0"/>
        <w:jc w:val="right"/>
        <w:rPr>
          <w:b/>
          <w:sz w:val="20"/>
        </w:rPr>
      </w:pPr>
      <w:r>
        <w:rPr>
          <w:b/>
          <w:color w:val="231F20"/>
          <w:spacing w:val="-2"/>
          <w:sz w:val="20"/>
        </w:rPr>
        <w:t>(Unaudited)</w:t>
      </w:r>
    </w:p>
    <w:p>
      <w:pPr>
        <w:spacing w:line="292" w:lineRule="auto" w:before="101"/>
        <w:ind w:left="146" w:right="135" w:firstLine="983"/>
        <w:jc w:val="right"/>
        <w:rPr>
          <w:b/>
          <w:sz w:val="20"/>
        </w:rPr>
      </w:pPr>
      <w:r>
        <w:rPr/>
        <w:br w:type="column"/>
      </w:r>
      <w:r>
        <w:rPr>
          <w:b/>
          <w:color w:val="231F20"/>
          <w:sz w:val="20"/>
        </w:rPr>
        <w:t>As</w:t>
      </w:r>
      <w:r>
        <w:rPr>
          <w:b/>
          <w:color w:val="231F20"/>
          <w:spacing w:val="-8"/>
          <w:sz w:val="20"/>
        </w:rPr>
        <w:t> </w:t>
      </w:r>
      <w:r>
        <w:rPr>
          <w:b/>
          <w:color w:val="231F20"/>
          <w:sz w:val="20"/>
        </w:rPr>
        <w:t>at December 31, 2024/For period from</w:t>
      </w:r>
      <w:r>
        <w:rPr>
          <w:b/>
          <w:color w:val="231F20"/>
          <w:spacing w:val="29"/>
          <w:sz w:val="20"/>
        </w:rPr>
        <w:t> </w:t>
      </w:r>
      <w:r>
        <w:rPr>
          <w:b/>
          <w:color w:val="231F20"/>
          <w:sz w:val="20"/>
        </w:rPr>
        <w:t>January</w:t>
      </w:r>
      <w:r>
        <w:rPr>
          <w:b/>
          <w:color w:val="231F20"/>
          <w:spacing w:val="80"/>
          <w:sz w:val="20"/>
        </w:rPr>
        <w:t> </w:t>
      </w:r>
      <w:r>
        <w:rPr>
          <w:b/>
          <w:color w:val="231F20"/>
          <w:sz w:val="20"/>
        </w:rPr>
        <w:t>to December</w:t>
      </w:r>
    </w:p>
    <w:p>
      <w:pPr>
        <w:spacing w:line="227" w:lineRule="exact" w:before="0"/>
        <w:ind w:left="0" w:right="135" w:firstLine="0"/>
        <w:jc w:val="right"/>
        <w:rPr>
          <w:b/>
          <w:sz w:val="20"/>
        </w:rPr>
      </w:pPr>
      <w:r>
        <w:rPr>
          <w:b/>
          <w:color w:val="231F20"/>
          <w:spacing w:val="-4"/>
          <w:sz w:val="20"/>
        </w:rPr>
        <w:t>2024</w:t>
      </w:r>
    </w:p>
    <w:p>
      <w:pPr>
        <w:spacing w:before="51"/>
        <w:ind w:left="0" w:right="68" w:firstLine="0"/>
        <w:jc w:val="right"/>
        <w:rPr>
          <w:b/>
          <w:sz w:val="20"/>
        </w:rPr>
      </w:pPr>
      <w:r>
        <w:rPr>
          <w:b/>
          <w:color w:val="231F20"/>
          <w:spacing w:val="-2"/>
          <w:sz w:val="20"/>
        </w:rPr>
        <w:t>(Audited)</w:t>
      </w:r>
    </w:p>
    <w:p>
      <w:pPr>
        <w:spacing w:after="0"/>
        <w:jc w:val="right"/>
        <w:rPr>
          <w:b/>
          <w:sz w:val="20"/>
        </w:rPr>
        <w:sectPr>
          <w:type w:val="continuous"/>
          <w:pgSz w:w="11910" w:h="15880"/>
          <w:pgMar w:header="567" w:footer="573" w:top="1300" w:bottom="280" w:left="1275" w:right="1275"/>
          <w:cols w:num="3" w:equalWidth="0">
            <w:col w:w="2953" w:space="851"/>
            <w:col w:w="3780" w:space="40"/>
            <w:col w:w="1736"/>
          </w:cols>
        </w:sectPr>
      </w:pPr>
    </w:p>
    <w:p>
      <w:pPr>
        <w:pStyle w:val="Heading4"/>
        <w:tabs>
          <w:tab w:pos="1700" w:val="left" w:leader="none"/>
        </w:tabs>
        <w:rPr>
          <w:i/>
        </w:rPr>
      </w:pPr>
      <w:r>
        <w:rPr>
          <w:i/>
          <w:color w:val="231F20"/>
          <w:spacing w:val="-2"/>
          <w:w w:val="105"/>
        </w:rPr>
        <w:t>(RMB)</w:t>
      </w:r>
      <w:r>
        <w:rPr>
          <w:i/>
          <w:color w:val="231F20"/>
        </w:rPr>
        <w:tab/>
      </w:r>
      <w:r>
        <w:rPr>
          <w:i/>
          <w:color w:val="231F20"/>
          <w:spacing w:val="-2"/>
          <w:w w:val="105"/>
        </w:rPr>
        <w:t>(RMB)</w:t>
      </w:r>
    </w:p>
    <w:p>
      <w:pPr>
        <w:pStyle w:val="BodyText"/>
        <w:spacing w:before="99"/>
        <w:rPr>
          <w:b/>
          <w:i/>
        </w:rPr>
      </w:pPr>
    </w:p>
    <w:p>
      <w:pPr>
        <w:pStyle w:val="BodyText"/>
        <w:tabs>
          <w:tab w:pos="6197" w:val="left" w:leader="none"/>
          <w:tab w:pos="7898" w:val="left" w:leader="none"/>
        </w:tabs>
        <w:spacing w:before="1"/>
        <w:ind w:left="2410"/>
      </w:pPr>
      <w:r>
        <w:rPr>
          <w:color w:val="231F20"/>
        </w:rPr>
        <w:t>Total</w:t>
      </w:r>
      <w:r>
        <w:rPr>
          <w:color w:val="231F20"/>
          <w:spacing w:val="30"/>
        </w:rPr>
        <w:t> </w:t>
      </w:r>
      <w:r>
        <w:rPr>
          <w:color w:val="231F20"/>
          <w:spacing w:val="-2"/>
        </w:rPr>
        <w:t>assets</w:t>
      </w:r>
      <w:r>
        <w:rPr>
          <w:color w:val="231F20"/>
        </w:rPr>
        <w:tab/>
      </w:r>
      <w:r>
        <w:rPr>
          <w:color w:val="231F20"/>
          <w:spacing w:val="-2"/>
        </w:rPr>
        <w:t>146,856,716.38</w:t>
      </w:r>
      <w:r>
        <w:rPr>
          <w:color w:val="231F20"/>
        </w:rPr>
        <w:tab/>
      </w:r>
      <w:r>
        <w:rPr>
          <w:color w:val="231F20"/>
          <w:spacing w:val="-2"/>
        </w:rPr>
        <w:t>130,326,770.28</w:t>
      </w:r>
    </w:p>
    <w:p>
      <w:pPr>
        <w:pStyle w:val="BodyText"/>
        <w:tabs>
          <w:tab w:pos="6302" w:val="left" w:leader="none"/>
          <w:tab w:pos="8003" w:val="left" w:leader="none"/>
        </w:tabs>
        <w:spacing w:before="50"/>
        <w:ind w:left="2410"/>
      </w:pPr>
      <w:r>
        <w:rPr>
          <w:color w:val="231F20"/>
        </w:rPr>
        <w:t>Total</w:t>
      </w:r>
      <w:r>
        <w:rPr>
          <w:color w:val="231F20"/>
          <w:spacing w:val="30"/>
        </w:rPr>
        <w:t> </w:t>
      </w:r>
      <w:r>
        <w:rPr>
          <w:color w:val="231F20"/>
          <w:spacing w:val="-2"/>
        </w:rPr>
        <w:t>liabilities</w:t>
      </w:r>
      <w:r>
        <w:rPr>
          <w:color w:val="231F20"/>
        </w:rPr>
        <w:tab/>
      </w:r>
      <w:r>
        <w:rPr>
          <w:color w:val="231F20"/>
          <w:spacing w:val="-2"/>
        </w:rPr>
        <w:t>99,069,881.41</w:t>
      </w:r>
      <w:r>
        <w:rPr>
          <w:color w:val="231F20"/>
        </w:rPr>
        <w:tab/>
      </w:r>
      <w:r>
        <w:rPr>
          <w:color w:val="231F20"/>
          <w:spacing w:val="-2"/>
        </w:rPr>
        <w:t>94,589,475.80</w:t>
      </w:r>
    </w:p>
    <w:p>
      <w:pPr>
        <w:pStyle w:val="BodyText"/>
        <w:tabs>
          <w:tab w:pos="6302" w:val="left" w:leader="none"/>
          <w:tab w:pos="8003" w:val="left" w:leader="none"/>
        </w:tabs>
        <w:spacing w:before="50"/>
        <w:ind w:left="2410"/>
      </w:pPr>
      <w:r>
        <w:rPr>
          <w:color w:val="231F20"/>
        </w:rPr>
        <w:t>Net</w:t>
      </w:r>
      <w:r>
        <w:rPr>
          <w:color w:val="231F20"/>
          <w:spacing w:val="20"/>
        </w:rPr>
        <w:t> </w:t>
      </w:r>
      <w:r>
        <w:rPr>
          <w:color w:val="231F20"/>
          <w:spacing w:val="-2"/>
        </w:rPr>
        <w:t>assets</w:t>
      </w:r>
      <w:r>
        <w:rPr>
          <w:color w:val="231F20"/>
        </w:rPr>
        <w:tab/>
      </w:r>
      <w:r>
        <w:rPr>
          <w:color w:val="231F20"/>
          <w:spacing w:val="-2"/>
        </w:rPr>
        <w:t>47,786,834.97</w:t>
      </w:r>
      <w:r>
        <w:rPr>
          <w:color w:val="231F20"/>
        </w:rPr>
        <w:tab/>
      </w:r>
      <w:r>
        <w:rPr>
          <w:color w:val="231F20"/>
          <w:spacing w:val="-2"/>
        </w:rPr>
        <w:t>35,737,294.48</w:t>
      </w:r>
    </w:p>
    <w:p>
      <w:pPr>
        <w:pStyle w:val="BodyText"/>
        <w:tabs>
          <w:tab w:pos="6302" w:val="left" w:leader="none"/>
          <w:tab w:pos="7898" w:val="left" w:leader="none"/>
        </w:tabs>
        <w:spacing w:before="50"/>
        <w:ind w:left="2410"/>
      </w:pPr>
      <w:r>
        <w:rPr>
          <w:color w:val="231F20"/>
        </w:rPr>
        <w:t>Operating</w:t>
      </w:r>
      <w:r>
        <w:rPr>
          <w:color w:val="231F20"/>
          <w:spacing w:val="50"/>
        </w:rPr>
        <w:t> </w:t>
      </w:r>
      <w:r>
        <w:rPr>
          <w:color w:val="231F20"/>
          <w:spacing w:val="-2"/>
        </w:rPr>
        <w:t>revenue</w:t>
      </w:r>
      <w:r>
        <w:rPr>
          <w:color w:val="231F20"/>
        </w:rPr>
        <w:tab/>
      </w:r>
      <w:r>
        <w:rPr>
          <w:color w:val="231F20"/>
          <w:spacing w:val="-2"/>
        </w:rPr>
        <w:t>96,641,887.20</w:t>
      </w:r>
      <w:r>
        <w:rPr>
          <w:color w:val="231F20"/>
        </w:rPr>
        <w:tab/>
      </w:r>
      <w:r>
        <w:rPr>
          <w:color w:val="231F20"/>
          <w:spacing w:val="-2"/>
        </w:rPr>
        <w:t>173,154,556.43</w:t>
      </w:r>
    </w:p>
    <w:p>
      <w:pPr>
        <w:pStyle w:val="BodyText"/>
        <w:tabs>
          <w:tab w:pos="6302" w:val="left" w:leader="none"/>
          <w:tab w:pos="8003" w:val="left" w:leader="none"/>
        </w:tabs>
        <w:spacing w:before="50"/>
        <w:ind w:left="2410"/>
      </w:pPr>
      <w:r>
        <w:rPr>
          <w:color w:val="231F20"/>
        </w:rPr>
        <w:t>Total</w:t>
      </w:r>
      <w:r>
        <w:rPr>
          <w:color w:val="231F20"/>
          <w:spacing w:val="30"/>
        </w:rPr>
        <w:t> </w:t>
      </w:r>
      <w:r>
        <w:rPr>
          <w:color w:val="231F20"/>
          <w:spacing w:val="-2"/>
        </w:rPr>
        <w:t>profit</w:t>
      </w:r>
      <w:r>
        <w:rPr>
          <w:color w:val="231F20"/>
        </w:rPr>
        <w:tab/>
      </w:r>
      <w:r>
        <w:rPr>
          <w:color w:val="231F20"/>
          <w:spacing w:val="-2"/>
        </w:rPr>
        <w:t>12,049,540.49</w:t>
      </w:r>
      <w:r>
        <w:rPr>
          <w:color w:val="231F20"/>
        </w:rPr>
        <w:tab/>
      </w:r>
      <w:r>
        <w:rPr>
          <w:color w:val="231F20"/>
          <w:spacing w:val="-2"/>
        </w:rPr>
        <w:t>15,973,901.90</w:t>
      </w:r>
    </w:p>
    <w:p>
      <w:pPr>
        <w:pStyle w:val="BodyText"/>
        <w:tabs>
          <w:tab w:pos="6302" w:val="left" w:leader="none"/>
          <w:tab w:pos="8003" w:val="left" w:leader="none"/>
        </w:tabs>
        <w:spacing w:before="50"/>
        <w:ind w:left="2410"/>
      </w:pPr>
      <w:r>
        <w:rPr>
          <w:color w:val="231F20"/>
        </w:rPr>
        <w:t>Net</w:t>
      </w:r>
      <w:r>
        <w:rPr>
          <w:color w:val="231F20"/>
          <w:spacing w:val="20"/>
        </w:rPr>
        <w:t> </w:t>
      </w:r>
      <w:r>
        <w:rPr>
          <w:color w:val="231F20"/>
          <w:spacing w:val="-2"/>
        </w:rPr>
        <w:t>profit</w:t>
      </w:r>
      <w:r>
        <w:rPr>
          <w:color w:val="231F20"/>
        </w:rPr>
        <w:tab/>
      </w:r>
      <w:r>
        <w:rPr>
          <w:color w:val="231F20"/>
          <w:spacing w:val="-2"/>
        </w:rPr>
        <w:t>12,049,540.49</w:t>
      </w:r>
      <w:r>
        <w:rPr>
          <w:color w:val="231F20"/>
        </w:rPr>
        <w:tab/>
      </w:r>
      <w:r>
        <w:rPr>
          <w:color w:val="231F20"/>
          <w:spacing w:val="-2"/>
        </w:rPr>
        <w:t>16,037,221.73</w:t>
      </w:r>
    </w:p>
    <w:p>
      <w:pPr>
        <w:pStyle w:val="BodyText"/>
        <w:spacing w:before="100"/>
      </w:pPr>
    </w:p>
    <w:p>
      <w:pPr>
        <w:pStyle w:val="ListParagraph"/>
        <w:numPr>
          <w:ilvl w:val="1"/>
          <w:numId w:val="8"/>
        </w:numPr>
        <w:tabs>
          <w:tab w:pos="2410" w:val="left" w:leader="none"/>
        </w:tabs>
        <w:spacing w:line="240" w:lineRule="auto" w:before="0" w:after="0"/>
        <w:ind w:left="2410" w:right="0" w:hanging="567"/>
        <w:jc w:val="left"/>
        <w:rPr>
          <w:sz w:val="20"/>
        </w:rPr>
      </w:pPr>
      <w:r>
        <w:rPr>
          <w:color w:val="231F20"/>
          <w:sz w:val="20"/>
        </w:rPr>
        <w:t>Credit</w:t>
      </w:r>
      <w:r>
        <w:rPr>
          <w:color w:val="231F20"/>
          <w:spacing w:val="33"/>
          <w:sz w:val="20"/>
        </w:rPr>
        <w:t> </w:t>
      </w:r>
      <w:r>
        <w:rPr>
          <w:color w:val="231F20"/>
          <w:sz w:val="20"/>
        </w:rPr>
        <w:t>rating:</w:t>
      </w:r>
      <w:r>
        <w:rPr>
          <w:color w:val="231F20"/>
          <w:spacing w:val="34"/>
          <w:sz w:val="20"/>
        </w:rPr>
        <w:t> </w:t>
      </w:r>
      <w:r>
        <w:rPr>
          <w:color w:val="231F20"/>
          <w:sz w:val="20"/>
        </w:rPr>
        <w:t>No</w:t>
      </w:r>
      <w:r>
        <w:rPr>
          <w:color w:val="231F20"/>
          <w:spacing w:val="33"/>
          <w:sz w:val="20"/>
        </w:rPr>
        <w:t> </w:t>
      </w:r>
      <w:r>
        <w:rPr>
          <w:color w:val="231F20"/>
          <w:sz w:val="20"/>
        </w:rPr>
        <w:t>external</w:t>
      </w:r>
      <w:r>
        <w:rPr>
          <w:color w:val="231F20"/>
          <w:spacing w:val="34"/>
          <w:sz w:val="20"/>
        </w:rPr>
        <w:t> </w:t>
      </w:r>
      <w:r>
        <w:rPr>
          <w:color w:val="231F20"/>
          <w:sz w:val="20"/>
        </w:rPr>
        <w:t>credit</w:t>
      </w:r>
      <w:r>
        <w:rPr>
          <w:color w:val="231F20"/>
          <w:spacing w:val="33"/>
          <w:sz w:val="20"/>
        </w:rPr>
        <w:t> </w:t>
      </w:r>
      <w:r>
        <w:rPr>
          <w:color w:val="231F20"/>
          <w:spacing w:val="-2"/>
          <w:sz w:val="20"/>
        </w:rPr>
        <w:t>rating</w:t>
      </w:r>
    </w:p>
    <w:p>
      <w:pPr>
        <w:pStyle w:val="BodyText"/>
        <w:spacing w:before="100"/>
      </w:pPr>
    </w:p>
    <w:p>
      <w:pPr>
        <w:pStyle w:val="BodyText"/>
        <w:ind w:left="2410"/>
      </w:pPr>
      <w:r>
        <w:rPr>
          <w:color w:val="231F20"/>
        </w:rPr>
        <w:t>Upon</w:t>
      </w:r>
      <w:r>
        <w:rPr>
          <w:color w:val="231F20"/>
          <w:spacing w:val="36"/>
        </w:rPr>
        <w:t> </w:t>
      </w:r>
      <w:r>
        <w:rPr>
          <w:color w:val="231F20"/>
        </w:rPr>
        <w:t>verification,</w:t>
      </w:r>
      <w:r>
        <w:rPr>
          <w:color w:val="231F20"/>
          <w:spacing w:val="37"/>
        </w:rPr>
        <w:t> </w:t>
      </w:r>
      <w:r>
        <w:rPr>
          <w:color w:val="231F20"/>
        </w:rPr>
        <w:t>VStar</w:t>
      </w:r>
      <w:r>
        <w:rPr>
          <w:color w:val="231F20"/>
          <w:spacing w:val="38"/>
        </w:rPr>
        <w:t> </w:t>
      </w:r>
      <w:r>
        <w:rPr>
          <w:color w:val="231F20"/>
        </w:rPr>
        <w:t>Packaging</w:t>
      </w:r>
      <w:r>
        <w:rPr>
          <w:color w:val="231F20"/>
          <w:spacing w:val="37"/>
        </w:rPr>
        <w:t> </w:t>
      </w:r>
      <w:r>
        <w:rPr>
          <w:color w:val="231F20"/>
        </w:rPr>
        <w:t>is</w:t>
      </w:r>
      <w:r>
        <w:rPr>
          <w:color w:val="231F20"/>
          <w:spacing w:val="37"/>
        </w:rPr>
        <w:t> </w:t>
      </w:r>
      <w:r>
        <w:rPr>
          <w:color w:val="231F20"/>
        </w:rPr>
        <w:t>not</w:t>
      </w:r>
      <w:r>
        <w:rPr>
          <w:color w:val="231F20"/>
          <w:spacing w:val="38"/>
        </w:rPr>
        <w:t> </w:t>
      </w:r>
      <w:r>
        <w:rPr>
          <w:color w:val="231F20"/>
        </w:rPr>
        <w:t>an</w:t>
      </w:r>
      <w:r>
        <w:rPr>
          <w:color w:val="231F20"/>
          <w:spacing w:val="37"/>
        </w:rPr>
        <w:t> </w:t>
      </w:r>
      <w:r>
        <w:rPr>
          <w:color w:val="231F20"/>
        </w:rPr>
        <w:t>untrustworthy</w:t>
      </w:r>
      <w:r>
        <w:rPr>
          <w:color w:val="231F20"/>
          <w:spacing w:val="37"/>
        </w:rPr>
        <w:t> </w:t>
      </w:r>
      <w:r>
        <w:rPr>
          <w:color w:val="231F20"/>
        </w:rPr>
        <w:t>judgment</w:t>
      </w:r>
      <w:r>
        <w:rPr>
          <w:color w:val="231F20"/>
          <w:spacing w:val="38"/>
        </w:rPr>
        <w:t> </w:t>
      </w:r>
      <w:r>
        <w:rPr>
          <w:color w:val="231F20"/>
          <w:spacing w:val="-2"/>
        </w:rPr>
        <w:t>defaulter.</w:t>
      </w:r>
    </w:p>
    <w:p>
      <w:pPr>
        <w:pStyle w:val="BodyText"/>
        <w:spacing w:after="0"/>
        <w:sectPr>
          <w:type w:val="continuous"/>
          <w:pgSz w:w="11910" w:h="15880"/>
          <w:pgMar w:header="567" w:footer="573" w:top="1300" w:bottom="280" w:left="1275" w:right="1275"/>
        </w:sectPr>
      </w:pPr>
    </w:p>
    <w:p>
      <w:pPr>
        <w:pStyle w:val="BodyText"/>
        <w:spacing w:before="93"/>
      </w:pPr>
    </w:p>
    <w:p>
      <w:pPr>
        <w:pStyle w:val="Heading5"/>
        <w:numPr>
          <w:ilvl w:val="0"/>
          <w:numId w:val="8"/>
        </w:numPr>
        <w:tabs>
          <w:tab w:pos="1843" w:val="left" w:leader="none"/>
        </w:tabs>
        <w:spacing w:line="240" w:lineRule="auto" w:before="0" w:after="0"/>
        <w:ind w:left="1843" w:right="0" w:hanging="567"/>
        <w:jc w:val="left"/>
        <w:rPr>
          <w:i/>
        </w:rPr>
      </w:pPr>
      <w:r>
        <w:rPr>
          <w:i/>
          <w:color w:val="231F20"/>
        </w:rPr>
        <w:t>Xiamen</w:t>
      </w:r>
      <w:r>
        <w:rPr>
          <w:i/>
          <w:color w:val="231F20"/>
          <w:spacing w:val="57"/>
        </w:rPr>
        <w:t> </w:t>
      </w:r>
      <w:r>
        <w:rPr>
          <w:i/>
          <w:color w:val="231F20"/>
        </w:rPr>
        <w:t>Jihong</w:t>
      </w:r>
      <w:r>
        <w:rPr>
          <w:i/>
          <w:color w:val="231F20"/>
          <w:spacing w:val="58"/>
        </w:rPr>
        <w:t> </w:t>
      </w:r>
      <w:r>
        <w:rPr>
          <w:i/>
          <w:color w:val="231F20"/>
        </w:rPr>
        <w:t>Packaging</w:t>
      </w:r>
      <w:r>
        <w:rPr>
          <w:i/>
          <w:color w:val="231F20"/>
          <w:spacing w:val="57"/>
        </w:rPr>
        <w:t> </w:t>
      </w:r>
      <w:r>
        <w:rPr>
          <w:i/>
          <w:color w:val="231F20"/>
        </w:rPr>
        <w:t>Industry</w:t>
      </w:r>
      <w:r>
        <w:rPr>
          <w:i/>
          <w:color w:val="231F20"/>
          <w:spacing w:val="58"/>
        </w:rPr>
        <w:t> </w:t>
      </w:r>
      <w:r>
        <w:rPr>
          <w:i/>
          <w:color w:val="231F20"/>
        </w:rPr>
        <w:t>Co.</w:t>
      </w:r>
      <w:r>
        <w:rPr>
          <w:i/>
          <w:color w:val="231F20"/>
          <w:spacing w:val="28"/>
        </w:rPr>
        <w:t>, </w:t>
      </w:r>
      <w:r>
        <w:rPr>
          <w:i/>
          <w:color w:val="231F20"/>
        </w:rPr>
        <w:t>Ltd</w:t>
      </w:r>
      <w:r>
        <w:rPr>
          <w:i/>
          <w:color w:val="231F20"/>
          <w:spacing w:val="29"/>
        </w:rPr>
        <w:t>. </w:t>
      </w:r>
      <w:r>
        <w:rPr>
          <w:i/>
          <w:color w:val="231F20"/>
        </w:rPr>
        <w:t>*</w:t>
      </w:r>
      <w:r>
        <w:rPr>
          <w:i/>
          <w:color w:val="231F20"/>
          <w:spacing w:val="28"/>
        </w:rPr>
        <w:t> (</w:t>
      </w:r>
      <w:r>
        <w:rPr>
          <w:rFonts w:ascii="Microsoft YaHei" w:eastAsia="Microsoft YaHei"/>
          <w:color w:val="231F20"/>
        </w:rPr>
        <w:t>廈門吉宏包裝工業有限公司</w:t>
      </w:r>
      <w:r>
        <w:rPr>
          <w:i/>
          <w:color w:val="231F20"/>
          <w:spacing w:val="-10"/>
        </w:rPr>
        <w:t>)</w:t>
      </w:r>
    </w:p>
    <w:p>
      <w:pPr>
        <w:pStyle w:val="BodyText"/>
        <w:spacing w:before="38"/>
        <w:rPr>
          <w:b/>
          <w:i/>
        </w:rPr>
      </w:pPr>
    </w:p>
    <w:p>
      <w:pPr>
        <w:pStyle w:val="ListParagraph"/>
        <w:numPr>
          <w:ilvl w:val="1"/>
          <w:numId w:val="8"/>
        </w:numPr>
        <w:tabs>
          <w:tab w:pos="2410" w:val="left" w:leader="none"/>
        </w:tabs>
        <w:spacing w:line="252" w:lineRule="auto" w:before="1" w:after="0"/>
        <w:ind w:left="2410" w:right="136" w:hanging="567"/>
        <w:jc w:val="both"/>
        <w:rPr>
          <w:sz w:val="20"/>
        </w:rPr>
      </w:pPr>
      <w:r>
        <w:rPr>
          <w:color w:val="231F20"/>
          <w:sz w:val="20"/>
        </w:rPr>
        <w:t>Company</w:t>
      </w:r>
      <w:r>
        <w:rPr>
          <w:color w:val="231F20"/>
          <w:spacing w:val="40"/>
          <w:sz w:val="20"/>
        </w:rPr>
        <w:t> </w:t>
      </w:r>
      <w:r>
        <w:rPr>
          <w:color w:val="231F20"/>
          <w:sz w:val="20"/>
        </w:rPr>
        <w:t>name</w:t>
      </w:r>
      <w:r>
        <w:rPr>
          <w:color w:val="231F20"/>
          <w:spacing w:val="20"/>
          <w:sz w:val="20"/>
        </w:rPr>
        <w:t>: </w:t>
      </w:r>
      <w:r>
        <w:rPr>
          <w:color w:val="231F20"/>
          <w:sz w:val="20"/>
        </w:rPr>
        <w:t>Xiamen</w:t>
      </w:r>
      <w:r>
        <w:rPr>
          <w:color w:val="231F20"/>
          <w:spacing w:val="40"/>
          <w:sz w:val="20"/>
        </w:rPr>
        <w:t> </w:t>
      </w:r>
      <w:r>
        <w:rPr>
          <w:color w:val="231F20"/>
          <w:sz w:val="20"/>
        </w:rPr>
        <w:t>Jihong</w:t>
      </w:r>
      <w:r>
        <w:rPr>
          <w:color w:val="231F20"/>
          <w:spacing w:val="40"/>
          <w:sz w:val="20"/>
        </w:rPr>
        <w:t> </w:t>
      </w:r>
      <w:r>
        <w:rPr>
          <w:color w:val="231F20"/>
          <w:sz w:val="20"/>
        </w:rPr>
        <w:t>Packaging</w:t>
      </w:r>
      <w:r>
        <w:rPr>
          <w:color w:val="231F20"/>
          <w:spacing w:val="40"/>
          <w:sz w:val="20"/>
        </w:rPr>
        <w:t> </w:t>
      </w:r>
      <w:r>
        <w:rPr>
          <w:color w:val="231F20"/>
          <w:sz w:val="20"/>
        </w:rPr>
        <w:t>Industry</w:t>
      </w:r>
      <w:r>
        <w:rPr>
          <w:color w:val="231F20"/>
          <w:spacing w:val="40"/>
          <w:sz w:val="20"/>
        </w:rPr>
        <w:t> </w:t>
      </w:r>
      <w:r>
        <w:rPr>
          <w:color w:val="231F20"/>
          <w:sz w:val="20"/>
        </w:rPr>
        <w:t>Co.</w:t>
      </w:r>
      <w:r>
        <w:rPr>
          <w:color w:val="231F20"/>
          <w:spacing w:val="20"/>
          <w:sz w:val="20"/>
        </w:rPr>
        <w:t>, </w:t>
      </w:r>
      <w:r>
        <w:rPr>
          <w:color w:val="231F20"/>
          <w:sz w:val="20"/>
        </w:rPr>
        <w:t>Ltd</w:t>
      </w:r>
      <w:r>
        <w:rPr>
          <w:color w:val="231F20"/>
          <w:spacing w:val="20"/>
          <w:sz w:val="20"/>
        </w:rPr>
        <w:t>. </w:t>
      </w:r>
      <w:r>
        <w:rPr>
          <w:color w:val="231F20"/>
          <w:sz w:val="20"/>
        </w:rPr>
        <w:t>*</w:t>
      </w:r>
      <w:r>
        <w:rPr>
          <w:color w:val="231F20"/>
          <w:spacing w:val="20"/>
          <w:sz w:val="20"/>
        </w:rPr>
        <w:t> (</w:t>
      </w:r>
      <w:r>
        <w:rPr>
          <w:rFonts w:ascii="新細明體" w:eastAsia="新細明體"/>
          <w:color w:val="231F20"/>
          <w:sz w:val="20"/>
        </w:rPr>
        <w:t>廈門吉宏包裝</w:t>
      </w:r>
      <w:r>
        <w:rPr>
          <w:rFonts w:ascii="新細明體" w:eastAsia="新細明體"/>
          <w:color w:val="231F20"/>
          <w:spacing w:val="-2"/>
          <w:sz w:val="20"/>
        </w:rPr>
        <w:t>工業有限公司</w:t>
      </w:r>
      <w:r>
        <w:rPr>
          <w:color w:val="231F20"/>
          <w:spacing w:val="-2"/>
          <w:sz w:val="20"/>
        </w:rPr>
        <w:t>)</w:t>
      </w:r>
    </w:p>
    <w:p>
      <w:pPr>
        <w:pStyle w:val="BodyText"/>
        <w:spacing w:before="51"/>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Date</w:t>
      </w:r>
      <w:r>
        <w:rPr>
          <w:color w:val="231F20"/>
          <w:spacing w:val="31"/>
          <w:sz w:val="20"/>
        </w:rPr>
        <w:t> </w:t>
      </w:r>
      <w:r>
        <w:rPr>
          <w:color w:val="231F20"/>
          <w:sz w:val="20"/>
        </w:rPr>
        <w:t>of</w:t>
      </w:r>
      <w:r>
        <w:rPr>
          <w:color w:val="231F20"/>
          <w:spacing w:val="33"/>
          <w:sz w:val="20"/>
        </w:rPr>
        <w:t> </w:t>
      </w:r>
      <w:r>
        <w:rPr>
          <w:color w:val="231F20"/>
          <w:sz w:val="20"/>
        </w:rPr>
        <w:t>establishment:</w:t>
      </w:r>
      <w:r>
        <w:rPr>
          <w:color w:val="231F20"/>
          <w:spacing w:val="33"/>
          <w:sz w:val="20"/>
        </w:rPr>
        <w:t> </w:t>
      </w:r>
      <w:r>
        <w:rPr>
          <w:color w:val="231F20"/>
          <w:sz w:val="20"/>
        </w:rPr>
        <w:t>March</w:t>
      </w:r>
      <w:r>
        <w:rPr>
          <w:color w:val="231F20"/>
          <w:spacing w:val="33"/>
          <w:sz w:val="20"/>
        </w:rPr>
        <w:t> </w:t>
      </w:r>
      <w:r>
        <w:rPr>
          <w:color w:val="231F20"/>
          <w:sz w:val="20"/>
        </w:rPr>
        <w:t>25,</w:t>
      </w:r>
      <w:r>
        <w:rPr>
          <w:color w:val="231F20"/>
          <w:spacing w:val="33"/>
          <w:sz w:val="20"/>
        </w:rPr>
        <w:t> </w:t>
      </w:r>
      <w:r>
        <w:rPr>
          <w:color w:val="231F20"/>
          <w:spacing w:val="-4"/>
          <w:sz w:val="20"/>
        </w:rPr>
        <w:t>2020</w:t>
      </w:r>
    </w:p>
    <w:p>
      <w:pPr>
        <w:pStyle w:val="BodyText"/>
        <w:spacing w:before="100"/>
      </w:pPr>
    </w:p>
    <w:p>
      <w:pPr>
        <w:pStyle w:val="ListParagraph"/>
        <w:numPr>
          <w:ilvl w:val="1"/>
          <w:numId w:val="8"/>
        </w:numPr>
        <w:tabs>
          <w:tab w:pos="2410" w:val="left" w:leader="none"/>
        </w:tabs>
        <w:spacing w:line="292" w:lineRule="auto" w:before="0" w:after="0"/>
        <w:ind w:left="2410" w:right="134" w:hanging="567"/>
        <w:jc w:val="both"/>
        <w:rPr>
          <w:sz w:val="20"/>
        </w:rPr>
      </w:pPr>
      <w:r>
        <w:rPr>
          <w:color w:val="231F20"/>
          <w:sz w:val="20"/>
        </w:rPr>
        <w:t>Place of registration: No. 11 Putou Road, Dongfu Street, Haicang District, Xiamen </w:t>
      </w:r>
      <w:r>
        <w:rPr>
          <w:color w:val="231F20"/>
          <w:spacing w:val="-4"/>
          <w:sz w:val="20"/>
        </w:rPr>
        <w:t>City</w:t>
      </w:r>
    </w:p>
    <w:p>
      <w:pPr>
        <w:pStyle w:val="BodyText"/>
        <w:spacing w:before="48"/>
      </w:pPr>
    </w:p>
    <w:p>
      <w:pPr>
        <w:pStyle w:val="ListParagraph"/>
        <w:numPr>
          <w:ilvl w:val="1"/>
          <w:numId w:val="8"/>
        </w:numPr>
        <w:tabs>
          <w:tab w:pos="2409" w:val="left" w:leader="none"/>
        </w:tabs>
        <w:spacing w:line="240" w:lineRule="auto" w:before="1" w:after="0"/>
        <w:ind w:left="2409" w:right="0" w:hanging="566"/>
        <w:jc w:val="left"/>
        <w:rPr>
          <w:sz w:val="20"/>
        </w:rPr>
      </w:pPr>
      <w:r>
        <w:rPr>
          <w:color w:val="231F20"/>
          <w:sz w:val="20"/>
        </w:rPr>
        <w:t>Registered</w:t>
      </w:r>
      <w:r>
        <w:rPr>
          <w:color w:val="231F20"/>
          <w:spacing w:val="43"/>
          <w:sz w:val="20"/>
        </w:rPr>
        <w:t> </w:t>
      </w:r>
      <w:r>
        <w:rPr>
          <w:color w:val="231F20"/>
          <w:sz w:val="20"/>
        </w:rPr>
        <w:t>capital:</w:t>
      </w:r>
      <w:r>
        <w:rPr>
          <w:color w:val="231F20"/>
          <w:spacing w:val="43"/>
          <w:sz w:val="20"/>
        </w:rPr>
        <w:t> </w:t>
      </w:r>
      <w:r>
        <w:rPr>
          <w:color w:val="231F20"/>
          <w:sz w:val="20"/>
        </w:rPr>
        <w:t>RMB50</w:t>
      </w:r>
      <w:r>
        <w:rPr>
          <w:color w:val="231F20"/>
          <w:spacing w:val="44"/>
          <w:sz w:val="20"/>
        </w:rPr>
        <w:t> </w:t>
      </w:r>
      <w:r>
        <w:rPr>
          <w:color w:val="231F20"/>
          <w:spacing w:val="-2"/>
          <w:sz w:val="20"/>
        </w:rPr>
        <w:t>million</w:t>
      </w:r>
    </w:p>
    <w:p>
      <w:pPr>
        <w:pStyle w:val="BodyText"/>
        <w:spacing w:before="99"/>
      </w:pPr>
    </w:p>
    <w:p>
      <w:pPr>
        <w:pStyle w:val="ListParagraph"/>
        <w:numPr>
          <w:ilvl w:val="1"/>
          <w:numId w:val="8"/>
        </w:numPr>
        <w:tabs>
          <w:tab w:pos="2409" w:val="left" w:leader="none"/>
        </w:tabs>
        <w:spacing w:line="240" w:lineRule="auto" w:before="1" w:after="0"/>
        <w:ind w:left="2409" w:right="0" w:hanging="566"/>
        <w:jc w:val="left"/>
        <w:rPr>
          <w:sz w:val="20"/>
        </w:rPr>
      </w:pPr>
      <w:r>
        <w:rPr>
          <w:color w:val="231F20"/>
          <w:sz w:val="20"/>
        </w:rPr>
        <w:t>Legal</w:t>
      </w:r>
      <w:r>
        <w:rPr>
          <w:color w:val="231F20"/>
          <w:spacing w:val="46"/>
          <w:sz w:val="20"/>
        </w:rPr>
        <w:t> </w:t>
      </w:r>
      <w:r>
        <w:rPr>
          <w:color w:val="231F20"/>
          <w:sz w:val="20"/>
        </w:rPr>
        <w:t>representative:</w:t>
      </w:r>
      <w:r>
        <w:rPr>
          <w:color w:val="231F20"/>
          <w:spacing w:val="47"/>
          <w:sz w:val="20"/>
        </w:rPr>
        <w:t> </w:t>
      </w:r>
      <w:r>
        <w:rPr>
          <w:color w:val="231F20"/>
          <w:sz w:val="20"/>
        </w:rPr>
        <w:t>Zhang</w:t>
      </w:r>
      <w:r>
        <w:rPr>
          <w:color w:val="231F20"/>
          <w:spacing w:val="47"/>
          <w:sz w:val="20"/>
        </w:rPr>
        <w:t> </w:t>
      </w:r>
      <w:r>
        <w:rPr>
          <w:color w:val="231F20"/>
          <w:spacing w:val="-2"/>
          <w:sz w:val="20"/>
        </w:rPr>
        <w:t>Heping</w:t>
      </w:r>
    </w:p>
    <w:p>
      <w:pPr>
        <w:pStyle w:val="BodyText"/>
        <w:spacing w:before="100"/>
      </w:pPr>
    </w:p>
    <w:p>
      <w:pPr>
        <w:pStyle w:val="ListParagraph"/>
        <w:numPr>
          <w:ilvl w:val="1"/>
          <w:numId w:val="8"/>
        </w:numPr>
        <w:tabs>
          <w:tab w:pos="2410" w:val="left" w:leader="none"/>
        </w:tabs>
        <w:spacing w:line="292" w:lineRule="auto" w:before="0" w:after="0"/>
        <w:ind w:left="2410" w:right="128" w:hanging="567"/>
        <w:jc w:val="both"/>
        <w:rPr>
          <w:sz w:val="20"/>
        </w:rPr>
      </w:pPr>
      <w:r>
        <w:rPr>
          <w:color w:val="231F20"/>
          <w:sz w:val="20"/>
        </w:rPr>
        <w:t>Scope</w:t>
      </w:r>
      <w:r>
        <w:rPr>
          <w:color w:val="231F20"/>
          <w:spacing w:val="40"/>
          <w:sz w:val="20"/>
        </w:rPr>
        <w:t> </w:t>
      </w:r>
      <w:r>
        <w:rPr>
          <w:color w:val="231F20"/>
          <w:sz w:val="20"/>
        </w:rPr>
        <w:t>of</w:t>
      </w:r>
      <w:r>
        <w:rPr>
          <w:color w:val="231F20"/>
          <w:spacing w:val="40"/>
          <w:sz w:val="20"/>
        </w:rPr>
        <w:t> </w:t>
      </w:r>
      <w:r>
        <w:rPr>
          <w:color w:val="231F20"/>
          <w:sz w:val="20"/>
        </w:rPr>
        <w:t>business:</w:t>
      </w:r>
      <w:r>
        <w:rPr>
          <w:color w:val="231F20"/>
          <w:spacing w:val="40"/>
          <w:sz w:val="20"/>
        </w:rPr>
        <w:t> </w:t>
      </w:r>
      <w:r>
        <w:rPr>
          <w:color w:val="231F20"/>
          <w:sz w:val="20"/>
        </w:rPr>
        <w:t>licensed</w:t>
      </w:r>
      <w:r>
        <w:rPr>
          <w:color w:val="231F20"/>
          <w:spacing w:val="40"/>
          <w:sz w:val="20"/>
        </w:rPr>
        <w:t> </w:t>
      </w:r>
      <w:r>
        <w:rPr>
          <w:color w:val="231F20"/>
          <w:sz w:val="20"/>
        </w:rPr>
        <w:t>projects:</w:t>
      </w:r>
      <w:r>
        <w:rPr>
          <w:color w:val="231F20"/>
          <w:spacing w:val="40"/>
          <w:sz w:val="20"/>
        </w:rPr>
        <w:t> </w:t>
      </w:r>
      <w:r>
        <w:rPr>
          <w:color w:val="231F20"/>
          <w:sz w:val="20"/>
        </w:rPr>
        <w:t>printing</w:t>
      </w:r>
      <w:r>
        <w:rPr>
          <w:color w:val="231F20"/>
          <w:spacing w:val="40"/>
          <w:sz w:val="20"/>
        </w:rPr>
        <w:t> </w:t>
      </w:r>
      <w:r>
        <w:rPr>
          <w:color w:val="231F20"/>
          <w:sz w:val="20"/>
        </w:rPr>
        <w:t>of</w:t>
      </w:r>
      <w:r>
        <w:rPr>
          <w:color w:val="231F20"/>
          <w:spacing w:val="40"/>
          <w:sz w:val="20"/>
        </w:rPr>
        <w:t> </w:t>
      </w:r>
      <w:r>
        <w:rPr>
          <w:color w:val="231F20"/>
          <w:sz w:val="20"/>
        </w:rPr>
        <w:t>packaging</w:t>
      </w:r>
      <w:r>
        <w:rPr>
          <w:color w:val="231F20"/>
          <w:spacing w:val="40"/>
          <w:sz w:val="20"/>
        </w:rPr>
        <w:t> </w:t>
      </w:r>
      <w:r>
        <w:rPr>
          <w:color w:val="231F20"/>
          <w:sz w:val="20"/>
        </w:rPr>
        <w:t>and</w:t>
      </w:r>
      <w:r>
        <w:rPr>
          <w:color w:val="231F20"/>
          <w:spacing w:val="40"/>
          <w:sz w:val="20"/>
        </w:rPr>
        <w:t> </w:t>
      </w:r>
      <w:r>
        <w:rPr>
          <w:color w:val="231F20"/>
          <w:sz w:val="20"/>
        </w:rPr>
        <w:t>decoration printed materials; binding services for printed materials; printing of other printed materials such as documents and materials; printing of specific printed materials. (Business activities subject to approval according to law may be carried out only after</w:t>
      </w:r>
      <w:r>
        <w:rPr>
          <w:color w:val="231F20"/>
          <w:spacing w:val="40"/>
          <w:sz w:val="20"/>
        </w:rPr>
        <w:t> </w:t>
      </w:r>
      <w:r>
        <w:rPr>
          <w:color w:val="231F20"/>
          <w:sz w:val="20"/>
        </w:rPr>
        <w:t>approval</w:t>
      </w:r>
      <w:r>
        <w:rPr>
          <w:color w:val="231F20"/>
          <w:spacing w:val="40"/>
          <w:sz w:val="20"/>
        </w:rPr>
        <w:t> </w:t>
      </w:r>
      <w:r>
        <w:rPr>
          <w:color w:val="231F20"/>
          <w:sz w:val="20"/>
        </w:rPr>
        <w:t>by</w:t>
      </w:r>
      <w:r>
        <w:rPr>
          <w:color w:val="231F20"/>
          <w:spacing w:val="40"/>
          <w:sz w:val="20"/>
        </w:rPr>
        <w:t> </w:t>
      </w:r>
      <w:r>
        <w:rPr>
          <w:color w:val="231F20"/>
          <w:sz w:val="20"/>
        </w:rPr>
        <w:t>relevant</w:t>
      </w:r>
      <w:r>
        <w:rPr>
          <w:color w:val="231F20"/>
          <w:spacing w:val="40"/>
          <w:sz w:val="20"/>
        </w:rPr>
        <w:t> </w:t>
      </w:r>
      <w:r>
        <w:rPr>
          <w:color w:val="231F20"/>
          <w:sz w:val="20"/>
        </w:rPr>
        <w:t>departments;</w:t>
      </w:r>
      <w:r>
        <w:rPr>
          <w:color w:val="231F20"/>
          <w:spacing w:val="40"/>
          <w:sz w:val="20"/>
        </w:rPr>
        <w:t> </w:t>
      </w:r>
      <w:r>
        <w:rPr>
          <w:color w:val="231F20"/>
          <w:sz w:val="20"/>
        </w:rPr>
        <w:t>specific</w:t>
      </w:r>
      <w:r>
        <w:rPr>
          <w:color w:val="231F20"/>
          <w:spacing w:val="40"/>
          <w:sz w:val="20"/>
        </w:rPr>
        <w:t> </w:t>
      </w:r>
      <w:r>
        <w:rPr>
          <w:color w:val="231F20"/>
          <w:sz w:val="20"/>
        </w:rPr>
        <w:t>scope</w:t>
      </w:r>
      <w:r>
        <w:rPr>
          <w:color w:val="231F20"/>
          <w:spacing w:val="40"/>
          <w:sz w:val="20"/>
        </w:rPr>
        <w:t> </w:t>
      </w:r>
      <w:r>
        <w:rPr>
          <w:color w:val="231F20"/>
          <w:sz w:val="20"/>
        </w:rPr>
        <w:t>of</w:t>
      </w:r>
      <w:r>
        <w:rPr>
          <w:color w:val="231F20"/>
          <w:spacing w:val="40"/>
          <w:sz w:val="20"/>
        </w:rPr>
        <w:t> </w:t>
      </w:r>
      <w:r>
        <w:rPr>
          <w:color w:val="231F20"/>
          <w:sz w:val="20"/>
        </w:rPr>
        <w:t>business</w:t>
      </w:r>
      <w:r>
        <w:rPr>
          <w:color w:val="231F20"/>
          <w:spacing w:val="40"/>
          <w:sz w:val="20"/>
        </w:rPr>
        <w:t> </w:t>
      </w:r>
      <w:r>
        <w:rPr>
          <w:color w:val="231F20"/>
          <w:sz w:val="20"/>
        </w:rPr>
        <w:t>is</w:t>
      </w:r>
      <w:r>
        <w:rPr>
          <w:color w:val="231F20"/>
          <w:spacing w:val="40"/>
          <w:sz w:val="20"/>
        </w:rPr>
        <w:t> </w:t>
      </w:r>
      <w:r>
        <w:rPr>
          <w:color w:val="231F20"/>
          <w:sz w:val="20"/>
        </w:rPr>
        <w:t>subject</w:t>
      </w:r>
      <w:r>
        <w:rPr>
          <w:color w:val="231F20"/>
          <w:spacing w:val="40"/>
          <w:sz w:val="20"/>
        </w:rPr>
        <w:t> </w:t>
      </w:r>
      <w:r>
        <w:rPr>
          <w:color w:val="231F20"/>
          <w:sz w:val="20"/>
        </w:rPr>
        <w:t>to the approval documents or licenses of relevant departments). General business activities: Manufacturing of paper and paperboard containers; professional design services; advertising design and agency; advertising production; </w:t>
      </w:r>
      <w:r>
        <w:rPr>
          <w:color w:val="231F20"/>
          <w:sz w:val="20"/>
        </w:rPr>
        <w:t>advertising distribution;</w:t>
      </w:r>
      <w:r>
        <w:rPr>
          <w:color w:val="231F20"/>
          <w:spacing w:val="40"/>
          <w:sz w:val="20"/>
        </w:rPr>
        <w:t> </w:t>
      </w:r>
      <w:r>
        <w:rPr>
          <w:color w:val="231F20"/>
          <w:sz w:val="20"/>
        </w:rPr>
        <w:t>manufacturing</w:t>
      </w:r>
      <w:r>
        <w:rPr>
          <w:color w:val="231F20"/>
          <w:spacing w:val="40"/>
          <w:sz w:val="20"/>
        </w:rPr>
        <w:t> </w:t>
      </w:r>
      <w:r>
        <w:rPr>
          <w:color w:val="231F20"/>
          <w:sz w:val="20"/>
        </w:rPr>
        <w:t>of</w:t>
      </w:r>
      <w:r>
        <w:rPr>
          <w:color w:val="231F20"/>
          <w:spacing w:val="40"/>
          <w:sz w:val="20"/>
        </w:rPr>
        <w:t> </w:t>
      </w:r>
      <w:r>
        <w:rPr>
          <w:color w:val="231F20"/>
          <w:sz w:val="20"/>
        </w:rPr>
        <w:t>plastic</w:t>
      </w:r>
      <w:r>
        <w:rPr>
          <w:color w:val="231F20"/>
          <w:spacing w:val="40"/>
          <w:sz w:val="20"/>
        </w:rPr>
        <w:t> </w:t>
      </w:r>
      <w:r>
        <w:rPr>
          <w:color w:val="231F20"/>
          <w:sz w:val="20"/>
        </w:rPr>
        <w:t>products;</w:t>
      </w:r>
      <w:r>
        <w:rPr>
          <w:color w:val="231F20"/>
          <w:spacing w:val="40"/>
          <w:sz w:val="20"/>
        </w:rPr>
        <w:t> </w:t>
      </w:r>
      <w:r>
        <w:rPr>
          <w:color w:val="231F20"/>
          <w:sz w:val="20"/>
        </w:rPr>
        <w:t>manufacturing</w:t>
      </w:r>
      <w:r>
        <w:rPr>
          <w:color w:val="231F20"/>
          <w:spacing w:val="40"/>
          <w:sz w:val="20"/>
        </w:rPr>
        <w:t> </w:t>
      </w:r>
      <w:r>
        <w:rPr>
          <w:color w:val="231F20"/>
          <w:sz w:val="20"/>
        </w:rPr>
        <w:t>of</w:t>
      </w:r>
      <w:r>
        <w:rPr>
          <w:color w:val="231F20"/>
          <w:spacing w:val="40"/>
          <w:sz w:val="20"/>
        </w:rPr>
        <w:t> </w:t>
      </w:r>
      <w:r>
        <w:rPr>
          <w:color w:val="231F20"/>
          <w:sz w:val="20"/>
        </w:rPr>
        <w:t>dedicated printing equipment; import and export of technologies; engineering and technical research and experimental development; internet sales (excluding sales of licensed goods); import and export of goods; manufacturing of wooden containers; sales of wooden</w:t>
      </w:r>
      <w:r>
        <w:rPr>
          <w:color w:val="231F20"/>
          <w:spacing w:val="40"/>
          <w:sz w:val="20"/>
        </w:rPr>
        <w:t> </w:t>
      </w:r>
      <w:r>
        <w:rPr>
          <w:color w:val="231F20"/>
          <w:sz w:val="20"/>
        </w:rPr>
        <w:t>containers.</w:t>
      </w:r>
      <w:r>
        <w:rPr>
          <w:color w:val="231F20"/>
          <w:spacing w:val="40"/>
          <w:sz w:val="20"/>
        </w:rPr>
        <w:t> </w:t>
      </w:r>
      <w:r>
        <w:rPr>
          <w:color w:val="231F20"/>
          <w:sz w:val="20"/>
        </w:rPr>
        <w:t>(Except</w:t>
      </w:r>
      <w:r>
        <w:rPr>
          <w:color w:val="231F20"/>
          <w:spacing w:val="40"/>
          <w:sz w:val="20"/>
        </w:rPr>
        <w:t> </w:t>
      </w:r>
      <w:r>
        <w:rPr>
          <w:color w:val="231F20"/>
          <w:sz w:val="20"/>
        </w:rPr>
        <w:t>for</w:t>
      </w:r>
      <w:r>
        <w:rPr>
          <w:color w:val="231F20"/>
          <w:spacing w:val="40"/>
          <w:sz w:val="20"/>
        </w:rPr>
        <w:t> </w:t>
      </w:r>
      <w:r>
        <w:rPr>
          <w:color w:val="231F20"/>
          <w:sz w:val="20"/>
        </w:rPr>
        <w:t>business</w:t>
      </w:r>
      <w:r>
        <w:rPr>
          <w:color w:val="231F20"/>
          <w:spacing w:val="40"/>
          <w:sz w:val="20"/>
        </w:rPr>
        <w:t> </w:t>
      </w:r>
      <w:r>
        <w:rPr>
          <w:color w:val="231F20"/>
          <w:sz w:val="20"/>
        </w:rPr>
        <w:t>activities</w:t>
      </w:r>
      <w:r>
        <w:rPr>
          <w:color w:val="231F20"/>
          <w:spacing w:val="40"/>
          <w:sz w:val="20"/>
        </w:rPr>
        <w:t> </w:t>
      </w:r>
      <w:r>
        <w:rPr>
          <w:color w:val="231F20"/>
          <w:sz w:val="20"/>
        </w:rPr>
        <w:t>subject</w:t>
      </w:r>
      <w:r>
        <w:rPr>
          <w:color w:val="231F20"/>
          <w:spacing w:val="40"/>
          <w:sz w:val="20"/>
        </w:rPr>
        <w:t> </w:t>
      </w:r>
      <w:r>
        <w:rPr>
          <w:color w:val="231F20"/>
          <w:sz w:val="20"/>
        </w:rPr>
        <w:t>to</w:t>
      </w:r>
      <w:r>
        <w:rPr>
          <w:color w:val="231F20"/>
          <w:spacing w:val="40"/>
          <w:sz w:val="20"/>
        </w:rPr>
        <w:t> </w:t>
      </w:r>
      <w:r>
        <w:rPr>
          <w:color w:val="231F20"/>
          <w:sz w:val="20"/>
        </w:rPr>
        <w:t>approval</w:t>
      </w:r>
      <w:r>
        <w:rPr>
          <w:color w:val="231F20"/>
          <w:spacing w:val="40"/>
          <w:sz w:val="20"/>
        </w:rPr>
        <w:t> </w:t>
      </w:r>
      <w:r>
        <w:rPr>
          <w:color w:val="231F20"/>
          <w:sz w:val="20"/>
        </w:rPr>
        <w:t>according to law, business activities may be carried out independently based on business </w:t>
      </w:r>
      <w:r>
        <w:rPr>
          <w:color w:val="231F20"/>
          <w:spacing w:val="-2"/>
          <w:sz w:val="20"/>
        </w:rPr>
        <w:t>licenses).</w:t>
      </w:r>
    </w:p>
    <w:p>
      <w:pPr>
        <w:pStyle w:val="BodyText"/>
        <w:spacing w:before="41"/>
      </w:pPr>
    </w:p>
    <w:p>
      <w:pPr>
        <w:pStyle w:val="ListParagraph"/>
        <w:numPr>
          <w:ilvl w:val="1"/>
          <w:numId w:val="8"/>
        </w:numPr>
        <w:tabs>
          <w:tab w:pos="2410" w:val="left" w:leader="none"/>
        </w:tabs>
        <w:spacing w:line="292" w:lineRule="auto" w:before="0" w:after="0"/>
        <w:ind w:left="2410" w:right="135" w:hanging="567"/>
        <w:jc w:val="both"/>
        <w:rPr>
          <w:sz w:val="20"/>
        </w:rPr>
      </w:pPr>
      <w:r>
        <w:rPr>
          <w:color w:val="231F20"/>
          <w:sz w:val="20"/>
        </w:rPr>
        <w:t>Related party relationship or business association with the Company: a </w:t>
      </w:r>
      <w:r>
        <w:rPr>
          <w:color w:val="231F20"/>
          <w:sz w:val="20"/>
        </w:rPr>
        <w:t>wholly- owned subsidiary of the Company</w:t>
      </w:r>
    </w:p>
    <w:p>
      <w:pPr>
        <w:pStyle w:val="ListParagraph"/>
        <w:spacing w:after="0" w:line="292" w:lineRule="auto"/>
        <w:jc w:val="both"/>
        <w:rPr>
          <w:sz w:val="20"/>
        </w:rPr>
        <w:sectPr>
          <w:pgSz w:w="11910" w:h="15880"/>
          <w:pgMar w:header="567" w:footer="573" w:top="1300" w:bottom="760" w:left="1275" w:right="1275"/>
        </w:sectPr>
      </w:pPr>
    </w:p>
    <w:p>
      <w:pPr>
        <w:pStyle w:val="BodyText"/>
        <w:spacing w:before="144"/>
      </w:pPr>
    </w:p>
    <w:p>
      <w:pPr>
        <w:pStyle w:val="ListParagraph"/>
        <w:numPr>
          <w:ilvl w:val="1"/>
          <w:numId w:val="8"/>
        </w:numPr>
        <w:tabs>
          <w:tab w:pos="2409" w:val="left" w:leader="none"/>
        </w:tabs>
        <w:spacing w:line="240" w:lineRule="auto" w:before="1" w:after="0"/>
        <w:ind w:left="2409" w:right="0" w:hanging="566"/>
        <w:jc w:val="left"/>
        <w:rPr>
          <w:sz w:val="20"/>
        </w:rPr>
      </w:pPr>
      <w:r>
        <w:rPr>
          <w:color w:val="231F20"/>
          <w:sz w:val="20"/>
        </w:rPr>
        <w:t>Key</w:t>
      </w:r>
      <w:r>
        <w:rPr>
          <w:color w:val="231F20"/>
          <w:spacing w:val="29"/>
          <w:sz w:val="20"/>
        </w:rPr>
        <w:t> </w:t>
      </w:r>
      <w:r>
        <w:rPr>
          <w:color w:val="231F20"/>
          <w:sz w:val="20"/>
        </w:rPr>
        <w:t>financial</w:t>
      </w:r>
      <w:r>
        <w:rPr>
          <w:color w:val="231F20"/>
          <w:spacing w:val="30"/>
          <w:sz w:val="20"/>
        </w:rPr>
        <w:t> </w:t>
      </w:r>
      <w:r>
        <w:rPr>
          <w:color w:val="231F20"/>
          <w:sz w:val="20"/>
        </w:rPr>
        <w:t>data</w:t>
      </w:r>
      <w:r>
        <w:rPr>
          <w:color w:val="231F20"/>
          <w:spacing w:val="30"/>
          <w:sz w:val="20"/>
        </w:rPr>
        <w:t> </w:t>
      </w:r>
      <w:r>
        <w:rPr>
          <w:color w:val="231F20"/>
          <w:sz w:val="20"/>
        </w:rPr>
        <w:t>for</w:t>
      </w:r>
      <w:r>
        <w:rPr>
          <w:color w:val="231F20"/>
          <w:spacing w:val="29"/>
          <w:sz w:val="20"/>
        </w:rPr>
        <w:t> </w:t>
      </w:r>
      <w:r>
        <w:rPr>
          <w:color w:val="231F20"/>
          <w:sz w:val="20"/>
        </w:rPr>
        <w:t>the</w:t>
      </w:r>
      <w:r>
        <w:rPr>
          <w:color w:val="231F20"/>
          <w:spacing w:val="30"/>
          <w:sz w:val="20"/>
        </w:rPr>
        <w:t> </w:t>
      </w:r>
      <w:r>
        <w:rPr>
          <w:color w:val="231F20"/>
          <w:sz w:val="20"/>
        </w:rPr>
        <w:t>latest</w:t>
      </w:r>
      <w:r>
        <w:rPr>
          <w:color w:val="231F20"/>
          <w:spacing w:val="30"/>
          <w:sz w:val="20"/>
        </w:rPr>
        <w:t> </w:t>
      </w:r>
      <w:r>
        <w:rPr>
          <w:color w:val="231F20"/>
          <w:sz w:val="20"/>
        </w:rPr>
        <w:t>financial</w:t>
      </w:r>
      <w:r>
        <w:rPr>
          <w:color w:val="231F20"/>
          <w:spacing w:val="29"/>
          <w:sz w:val="20"/>
        </w:rPr>
        <w:t> </w:t>
      </w:r>
      <w:r>
        <w:rPr>
          <w:color w:val="231F20"/>
          <w:sz w:val="20"/>
        </w:rPr>
        <w:t>year</w:t>
      </w:r>
      <w:r>
        <w:rPr>
          <w:color w:val="231F20"/>
          <w:spacing w:val="30"/>
          <w:sz w:val="20"/>
        </w:rPr>
        <w:t> </w:t>
      </w:r>
      <w:r>
        <w:rPr>
          <w:color w:val="231F20"/>
          <w:sz w:val="20"/>
        </w:rPr>
        <w:t>and</w:t>
      </w:r>
      <w:r>
        <w:rPr>
          <w:color w:val="231F20"/>
          <w:spacing w:val="30"/>
          <w:sz w:val="20"/>
        </w:rPr>
        <w:t> </w:t>
      </w:r>
      <w:r>
        <w:rPr>
          <w:color w:val="231F20"/>
          <w:sz w:val="20"/>
        </w:rPr>
        <w:t>the</w:t>
      </w:r>
      <w:r>
        <w:rPr>
          <w:color w:val="231F20"/>
          <w:spacing w:val="29"/>
          <w:sz w:val="20"/>
        </w:rPr>
        <w:t> </w:t>
      </w:r>
      <w:r>
        <w:rPr>
          <w:color w:val="231F20"/>
          <w:sz w:val="20"/>
        </w:rPr>
        <w:t>subsequent</w:t>
      </w:r>
      <w:r>
        <w:rPr>
          <w:color w:val="231F20"/>
          <w:spacing w:val="30"/>
          <w:sz w:val="20"/>
        </w:rPr>
        <w:t> </w:t>
      </w:r>
      <w:r>
        <w:rPr>
          <w:color w:val="231F20"/>
          <w:sz w:val="20"/>
        </w:rPr>
        <w:t>interim</w:t>
      </w:r>
      <w:r>
        <w:rPr>
          <w:color w:val="231F20"/>
          <w:spacing w:val="30"/>
          <w:sz w:val="20"/>
        </w:rPr>
        <w:t> </w:t>
      </w:r>
      <w:r>
        <w:rPr>
          <w:color w:val="231F20"/>
          <w:spacing w:val="-2"/>
          <w:sz w:val="20"/>
        </w:rPr>
        <w:t>period</w:t>
      </w:r>
    </w:p>
    <w:p>
      <w:pPr>
        <w:pStyle w:val="BodyText"/>
        <w:spacing w:before="98"/>
      </w:pPr>
    </w:p>
    <w:tbl>
      <w:tblPr>
        <w:tblW w:w="0" w:type="auto"/>
        <w:jc w:val="left"/>
        <w:tblInd w:w="1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52"/>
        <w:gridCol w:w="1732"/>
        <w:gridCol w:w="1657"/>
      </w:tblGrid>
      <w:tr>
        <w:trPr>
          <w:trHeight w:val="255" w:hRule="atLeast"/>
        </w:trPr>
        <w:tc>
          <w:tcPr>
            <w:tcW w:w="4152" w:type="dxa"/>
            <w:vMerge w:val="restart"/>
          </w:tcPr>
          <w:p>
            <w:pPr>
              <w:pStyle w:val="TableParagraph"/>
              <w:spacing w:before="0"/>
              <w:rPr>
                <w:sz w:val="20"/>
              </w:rPr>
            </w:pPr>
          </w:p>
        </w:tc>
        <w:tc>
          <w:tcPr>
            <w:tcW w:w="1732" w:type="dxa"/>
          </w:tcPr>
          <w:p>
            <w:pPr>
              <w:pStyle w:val="TableParagraph"/>
              <w:spacing w:before="0"/>
              <w:rPr>
                <w:sz w:val="18"/>
              </w:rPr>
            </w:pPr>
          </w:p>
        </w:tc>
        <w:tc>
          <w:tcPr>
            <w:tcW w:w="1657" w:type="dxa"/>
          </w:tcPr>
          <w:p>
            <w:pPr>
              <w:pStyle w:val="TableParagraph"/>
              <w:spacing w:before="1"/>
              <w:ind w:right="113"/>
              <w:jc w:val="right"/>
              <w:rPr>
                <w:b/>
                <w:sz w:val="20"/>
              </w:rPr>
            </w:pPr>
            <w:r>
              <w:rPr>
                <w:b/>
                <w:color w:val="231F20"/>
                <w:sz w:val="20"/>
              </w:rPr>
              <w:t>As</w:t>
            </w:r>
            <w:r>
              <w:rPr>
                <w:b/>
                <w:color w:val="231F20"/>
                <w:spacing w:val="12"/>
                <w:sz w:val="20"/>
              </w:rPr>
              <w:t> </w:t>
            </w:r>
            <w:r>
              <w:rPr>
                <w:b/>
                <w:color w:val="231F20"/>
                <w:spacing w:val="-5"/>
                <w:sz w:val="20"/>
              </w:rPr>
              <w:t>at</w:t>
            </w:r>
          </w:p>
        </w:tc>
      </w:tr>
      <w:tr>
        <w:trPr>
          <w:trHeight w:val="280" w:hRule="atLeast"/>
        </w:trPr>
        <w:tc>
          <w:tcPr>
            <w:tcW w:w="4152" w:type="dxa"/>
            <w:vMerge/>
            <w:tcBorders>
              <w:top w:val="nil"/>
            </w:tcBorders>
          </w:tcPr>
          <w:p>
            <w:pPr>
              <w:rPr>
                <w:sz w:val="2"/>
                <w:szCs w:val="2"/>
              </w:rPr>
            </w:pPr>
          </w:p>
        </w:tc>
        <w:tc>
          <w:tcPr>
            <w:tcW w:w="1732" w:type="dxa"/>
          </w:tcPr>
          <w:p>
            <w:pPr>
              <w:pStyle w:val="TableParagraph"/>
              <w:spacing w:before="25"/>
              <w:ind w:right="157"/>
              <w:jc w:val="right"/>
              <w:rPr>
                <w:b/>
                <w:sz w:val="20"/>
              </w:rPr>
            </w:pPr>
            <w:r>
              <w:rPr>
                <w:b/>
                <w:color w:val="231F20"/>
                <w:sz w:val="20"/>
              </w:rPr>
              <w:t>As</w:t>
            </w:r>
            <w:r>
              <w:rPr>
                <w:b/>
                <w:color w:val="231F20"/>
                <w:spacing w:val="12"/>
                <w:sz w:val="20"/>
              </w:rPr>
              <w:t> </w:t>
            </w:r>
            <w:r>
              <w:rPr>
                <w:b/>
                <w:color w:val="231F20"/>
                <w:spacing w:val="-5"/>
                <w:sz w:val="20"/>
              </w:rPr>
              <w:t>at</w:t>
            </w:r>
          </w:p>
        </w:tc>
        <w:tc>
          <w:tcPr>
            <w:tcW w:w="1657" w:type="dxa"/>
          </w:tcPr>
          <w:p>
            <w:pPr>
              <w:pStyle w:val="TableParagraph"/>
              <w:spacing w:before="25"/>
              <w:ind w:right="113"/>
              <w:jc w:val="right"/>
              <w:rPr>
                <w:b/>
                <w:sz w:val="20"/>
              </w:rPr>
            </w:pPr>
            <w:r>
              <w:rPr>
                <w:b/>
                <w:color w:val="231F20"/>
                <w:sz w:val="20"/>
              </w:rPr>
              <w:t>December</w:t>
            </w:r>
            <w:r>
              <w:rPr>
                <w:b/>
                <w:color w:val="231F20"/>
                <w:spacing w:val="45"/>
                <w:sz w:val="20"/>
              </w:rPr>
              <w:t> </w:t>
            </w:r>
            <w:r>
              <w:rPr>
                <w:b/>
                <w:color w:val="231F20"/>
                <w:spacing w:val="-5"/>
                <w:sz w:val="20"/>
              </w:rPr>
              <w:t>31,</w:t>
            </w:r>
          </w:p>
        </w:tc>
      </w:tr>
      <w:tr>
        <w:trPr>
          <w:trHeight w:val="280" w:hRule="atLeast"/>
        </w:trPr>
        <w:tc>
          <w:tcPr>
            <w:tcW w:w="4152" w:type="dxa"/>
            <w:vMerge/>
            <w:tcBorders>
              <w:top w:val="nil"/>
            </w:tcBorders>
          </w:tcPr>
          <w:p>
            <w:pPr>
              <w:rPr>
                <w:sz w:val="2"/>
                <w:szCs w:val="2"/>
              </w:rPr>
            </w:pPr>
          </w:p>
        </w:tc>
        <w:tc>
          <w:tcPr>
            <w:tcW w:w="1732" w:type="dxa"/>
          </w:tcPr>
          <w:p>
            <w:pPr>
              <w:pStyle w:val="TableParagraph"/>
              <w:spacing w:before="25"/>
              <w:ind w:right="157"/>
              <w:jc w:val="right"/>
              <w:rPr>
                <w:b/>
                <w:sz w:val="20"/>
              </w:rPr>
            </w:pPr>
            <w:r>
              <w:rPr>
                <w:b/>
                <w:color w:val="231F20"/>
                <w:sz w:val="20"/>
              </w:rPr>
              <w:t>June</w:t>
            </w:r>
            <w:r>
              <w:rPr>
                <w:b/>
                <w:color w:val="231F20"/>
                <w:spacing w:val="18"/>
                <w:sz w:val="20"/>
              </w:rPr>
              <w:t> </w:t>
            </w:r>
            <w:r>
              <w:rPr>
                <w:b/>
                <w:color w:val="231F20"/>
                <w:sz w:val="20"/>
              </w:rPr>
              <w:t>30,</w:t>
            </w:r>
            <w:r>
              <w:rPr>
                <w:b/>
                <w:color w:val="231F20"/>
                <w:spacing w:val="19"/>
                <w:sz w:val="20"/>
              </w:rPr>
              <w:t> </w:t>
            </w:r>
            <w:r>
              <w:rPr>
                <w:b/>
                <w:color w:val="231F20"/>
                <w:spacing w:val="-2"/>
                <w:sz w:val="20"/>
              </w:rPr>
              <w:t>2025/</w:t>
            </w:r>
          </w:p>
        </w:tc>
        <w:tc>
          <w:tcPr>
            <w:tcW w:w="1657" w:type="dxa"/>
          </w:tcPr>
          <w:p>
            <w:pPr>
              <w:pStyle w:val="TableParagraph"/>
              <w:spacing w:before="25"/>
              <w:ind w:right="113"/>
              <w:jc w:val="right"/>
              <w:rPr>
                <w:b/>
                <w:sz w:val="20"/>
              </w:rPr>
            </w:pPr>
            <w:r>
              <w:rPr>
                <w:b/>
                <w:color w:val="231F20"/>
                <w:sz w:val="20"/>
              </w:rPr>
              <w:t>2024/For</w:t>
            </w:r>
            <w:r>
              <w:rPr>
                <w:b/>
                <w:color w:val="231F20"/>
                <w:spacing w:val="43"/>
                <w:sz w:val="20"/>
              </w:rPr>
              <w:t> </w:t>
            </w:r>
            <w:r>
              <w:rPr>
                <w:b/>
                <w:color w:val="231F20"/>
                <w:spacing w:val="-2"/>
                <w:sz w:val="20"/>
              </w:rPr>
              <w:t>period</w:t>
            </w:r>
          </w:p>
        </w:tc>
      </w:tr>
      <w:tr>
        <w:trPr>
          <w:trHeight w:val="280" w:hRule="atLeast"/>
        </w:trPr>
        <w:tc>
          <w:tcPr>
            <w:tcW w:w="4152" w:type="dxa"/>
            <w:vMerge/>
            <w:tcBorders>
              <w:top w:val="nil"/>
            </w:tcBorders>
          </w:tcPr>
          <w:p>
            <w:pPr>
              <w:rPr>
                <w:sz w:val="2"/>
                <w:szCs w:val="2"/>
              </w:rPr>
            </w:pPr>
          </w:p>
        </w:tc>
        <w:tc>
          <w:tcPr>
            <w:tcW w:w="1732" w:type="dxa"/>
          </w:tcPr>
          <w:p>
            <w:pPr>
              <w:pStyle w:val="TableParagraph"/>
              <w:spacing w:before="25"/>
              <w:ind w:right="157"/>
              <w:jc w:val="right"/>
              <w:rPr>
                <w:b/>
                <w:sz w:val="20"/>
              </w:rPr>
            </w:pPr>
            <w:r>
              <w:rPr>
                <w:b/>
                <w:color w:val="231F20"/>
                <w:sz w:val="20"/>
              </w:rPr>
              <w:t>For</w:t>
            </w:r>
            <w:r>
              <w:rPr>
                <w:b/>
                <w:color w:val="231F20"/>
                <w:spacing w:val="20"/>
                <w:sz w:val="20"/>
              </w:rPr>
              <w:t> </w:t>
            </w:r>
            <w:r>
              <w:rPr>
                <w:b/>
                <w:color w:val="231F20"/>
                <w:sz w:val="20"/>
              </w:rPr>
              <w:t>the</w:t>
            </w:r>
            <w:r>
              <w:rPr>
                <w:b/>
                <w:color w:val="231F20"/>
                <w:spacing w:val="20"/>
                <w:sz w:val="20"/>
              </w:rPr>
              <w:t> </w:t>
            </w:r>
            <w:r>
              <w:rPr>
                <w:b/>
                <w:color w:val="231F20"/>
                <w:spacing w:val="-2"/>
                <w:sz w:val="20"/>
              </w:rPr>
              <w:t>period</w:t>
            </w:r>
          </w:p>
        </w:tc>
        <w:tc>
          <w:tcPr>
            <w:tcW w:w="1657" w:type="dxa"/>
          </w:tcPr>
          <w:p>
            <w:pPr>
              <w:pStyle w:val="TableParagraph"/>
              <w:spacing w:before="25"/>
              <w:ind w:right="113"/>
              <w:jc w:val="right"/>
              <w:rPr>
                <w:b/>
                <w:sz w:val="20"/>
              </w:rPr>
            </w:pPr>
            <w:r>
              <w:rPr>
                <w:b/>
                <w:color w:val="231F20"/>
                <w:sz w:val="20"/>
              </w:rPr>
              <w:t>from</w:t>
            </w:r>
            <w:r>
              <w:rPr>
                <w:b/>
                <w:color w:val="231F20"/>
                <w:spacing w:val="25"/>
                <w:sz w:val="20"/>
              </w:rPr>
              <w:t> </w:t>
            </w:r>
            <w:r>
              <w:rPr>
                <w:b/>
                <w:color w:val="231F20"/>
                <w:spacing w:val="-2"/>
                <w:sz w:val="20"/>
              </w:rPr>
              <w:t>January</w:t>
            </w:r>
          </w:p>
        </w:tc>
      </w:tr>
      <w:tr>
        <w:trPr>
          <w:trHeight w:val="280" w:hRule="atLeast"/>
        </w:trPr>
        <w:tc>
          <w:tcPr>
            <w:tcW w:w="4152" w:type="dxa"/>
            <w:vMerge/>
            <w:tcBorders>
              <w:top w:val="nil"/>
            </w:tcBorders>
          </w:tcPr>
          <w:p>
            <w:pPr>
              <w:rPr>
                <w:sz w:val="2"/>
                <w:szCs w:val="2"/>
              </w:rPr>
            </w:pPr>
          </w:p>
        </w:tc>
        <w:tc>
          <w:tcPr>
            <w:tcW w:w="1732" w:type="dxa"/>
          </w:tcPr>
          <w:p>
            <w:pPr>
              <w:pStyle w:val="TableParagraph"/>
              <w:spacing w:before="25"/>
              <w:ind w:right="157"/>
              <w:jc w:val="right"/>
              <w:rPr>
                <w:b/>
                <w:sz w:val="20"/>
              </w:rPr>
            </w:pPr>
            <w:r>
              <w:rPr>
                <w:b/>
                <w:color w:val="231F20"/>
                <w:sz w:val="20"/>
              </w:rPr>
              <w:t>from</w:t>
            </w:r>
            <w:r>
              <w:rPr>
                <w:b/>
                <w:color w:val="231F20"/>
                <w:spacing w:val="25"/>
                <w:sz w:val="20"/>
              </w:rPr>
              <w:t> </w:t>
            </w:r>
            <w:r>
              <w:rPr>
                <w:b/>
                <w:color w:val="231F20"/>
                <w:spacing w:val="-2"/>
                <w:sz w:val="20"/>
              </w:rPr>
              <w:t>January</w:t>
            </w:r>
          </w:p>
        </w:tc>
        <w:tc>
          <w:tcPr>
            <w:tcW w:w="1657" w:type="dxa"/>
          </w:tcPr>
          <w:p>
            <w:pPr>
              <w:pStyle w:val="TableParagraph"/>
              <w:spacing w:before="25"/>
              <w:ind w:right="113"/>
              <w:jc w:val="right"/>
              <w:rPr>
                <w:b/>
                <w:sz w:val="20"/>
              </w:rPr>
            </w:pPr>
            <w:r>
              <w:rPr>
                <w:b/>
                <w:color w:val="231F20"/>
                <w:sz w:val="20"/>
              </w:rPr>
              <w:t>to</w:t>
            </w:r>
            <w:r>
              <w:rPr>
                <w:b/>
                <w:color w:val="231F20"/>
                <w:spacing w:val="12"/>
                <w:sz w:val="20"/>
              </w:rPr>
              <w:t> </w:t>
            </w:r>
            <w:r>
              <w:rPr>
                <w:b/>
                <w:color w:val="231F20"/>
                <w:spacing w:val="-2"/>
                <w:sz w:val="20"/>
              </w:rPr>
              <w:t>December</w:t>
            </w:r>
          </w:p>
        </w:tc>
      </w:tr>
      <w:tr>
        <w:trPr>
          <w:trHeight w:val="280" w:hRule="atLeast"/>
        </w:trPr>
        <w:tc>
          <w:tcPr>
            <w:tcW w:w="4152" w:type="dxa"/>
            <w:vMerge/>
            <w:tcBorders>
              <w:top w:val="nil"/>
            </w:tcBorders>
          </w:tcPr>
          <w:p>
            <w:pPr>
              <w:rPr>
                <w:sz w:val="2"/>
                <w:szCs w:val="2"/>
              </w:rPr>
            </w:pPr>
          </w:p>
        </w:tc>
        <w:tc>
          <w:tcPr>
            <w:tcW w:w="1732" w:type="dxa"/>
          </w:tcPr>
          <w:p>
            <w:pPr>
              <w:pStyle w:val="TableParagraph"/>
              <w:spacing w:before="25"/>
              <w:ind w:right="157"/>
              <w:jc w:val="right"/>
              <w:rPr>
                <w:b/>
                <w:sz w:val="20"/>
              </w:rPr>
            </w:pPr>
            <w:r>
              <w:rPr>
                <w:b/>
                <w:color w:val="231F20"/>
                <w:sz w:val="20"/>
              </w:rPr>
              <w:t>to</w:t>
            </w:r>
            <w:r>
              <w:rPr>
                <w:b/>
                <w:color w:val="231F20"/>
                <w:spacing w:val="16"/>
                <w:sz w:val="20"/>
              </w:rPr>
              <w:t> </w:t>
            </w:r>
            <w:r>
              <w:rPr>
                <w:b/>
                <w:color w:val="231F20"/>
                <w:sz w:val="20"/>
              </w:rPr>
              <w:t>June</w:t>
            </w:r>
            <w:r>
              <w:rPr>
                <w:b/>
                <w:color w:val="231F20"/>
                <w:spacing w:val="17"/>
                <w:sz w:val="20"/>
              </w:rPr>
              <w:t> </w:t>
            </w:r>
            <w:r>
              <w:rPr>
                <w:b/>
                <w:color w:val="231F20"/>
                <w:spacing w:val="-4"/>
                <w:sz w:val="20"/>
              </w:rPr>
              <w:t>2025</w:t>
            </w:r>
          </w:p>
        </w:tc>
        <w:tc>
          <w:tcPr>
            <w:tcW w:w="1657" w:type="dxa"/>
          </w:tcPr>
          <w:p>
            <w:pPr>
              <w:pStyle w:val="TableParagraph"/>
              <w:spacing w:before="25"/>
              <w:ind w:right="113"/>
              <w:jc w:val="right"/>
              <w:rPr>
                <w:b/>
                <w:sz w:val="20"/>
              </w:rPr>
            </w:pPr>
            <w:r>
              <w:rPr>
                <w:b/>
                <w:color w:val="231F20"/>
                <w:spacing w:val="-4"/>
                <w:sz w:val="20"/>
              </w:rPr>
              <w:t>2024</w:t>
            </w:r>
          </w:p>
        </w:tc>
      </w:tr>
      <w:tr>
        <w:trPr>
          <w:trHeight w:val="704" w:hRule="atLeast"/>
        </w:trPr>
        <w:tc>
          <w:tcPr>
            <w:tcW w:w="4152" w:type="dxa"/>
          </w:tcPr>
          <w:p>
            <w:pPr>
              <w:pStyle w:val="TableParagraph"/>
              <w:spacing w:before="25"/>
              <w:ind w:left="616"/>
              <w:rPr>
                <w:b/>
                <w:sz w:val="20"/>
              </w:rPr>
            </w:pPr>
            <w:r>
              <w:rPr>
                <w:b/>
                <w:color w:val="231F20"/>
                <w:spacing w:val="-2"/>
                <w:sz w:val="20"/>
              </w:rPr>
              <w:t>Items</w:t>
            </w:r>
          </w:p>
        </w:tc>
        <w:tc>
          <w:tcPr>
            <w:tcW w:w="1732" w:type="dxa"/>
          </w:tcPr>
          <w:p>
            <w:pPr>
              <w:pStyle w:val="TableParagraph"/>
              <w:spacing w:before="25"/>
              <w:ind w:left="550"/>
              <w:rPr>
                <w:b/>
                <w:sz w:val="20"/>
              </w:rPr>
            </w:pPr>
            <w:r>
              <w:rPr>
                <w:b/>
                <w:color w:val="231F20"/>
                <w:spacing w:val="-2"/>
                <w:sz w:val="20"/>
              </w:rPr>
              <w:t>(Unaudited)</w:t>
            </w:r>
          </w:p>
          <w:p>
            <w:pPr>
              <w:pStyle w:val="TableParagraph"/>
              <w:spacing w:before="50"/>
              <w:ind w:left="1013"/>
              <w:rPr>
                <w:b/>
                <w:i/>
                <w:sz w:val="20"/>
              </w:rPr>
            </w:pPr>
            <w:r>
              <w:rPr>
                <w:b/>
                <w:i/>
                <w:color w:val="231F20"/>
                <w:spacing w:val="-2"/>
                <w:w w:val="105"/>
                <w:sz w:val="20"/>
              </w:rPr>
              <w:t>(RMB)</w:t>
            </w:r>
          </w:p>
        </w:tc>
        <w:tc>
          <w:tcPr>
            <w:tcW w:w="1657" w:type="dxa"/>
          </w:tcPr>
          <w:p>
            <w:pPr>
              <w:pStyle w:val="TableParagraph"/>
              <w:spacing w:before="25"/>
              <w:ind w:left="740"/>
              <w:rPr>
                <w:b/>
                <w:sz w:val="20"/>
              </w:rPr>
            </w:pPr>
            <w:r>
              <w:rPr>
                <w:b/>
                <w:color w:val="231F20"/>
                <w:spacing w:val="-2"/>
                <w:sz w:val="20"/>
              </w:rPr>
              <w:t>(Audited)</w:t>
            </w:r>
          </w:p>
          <w:p>
            <w:pPr>
              <w:pStyle w:val="TableParagraph"/>
              <w:spacing w:before="50"/>
              <w:ind w:left="982"/>
              <w:rPr>
                <w:b/>
                <w:i/>
                <w:sz w:val="20"/>
              </w:rPr>
            </w:pPr>
            <w:r>
              <w:rPr>
                <w:b/>
                <w:i/>
                <w:color w:val="231F20"/>
                <w:spacing w:val="-2"/>
                <w:w w:val="105"/>
                <w:sz w:val="20"/>
              </w:rPr>
              <w:t>(RMB)</w:t>
            </w:r>
          </w:p>
        </w:tc>
      </w:tr>
      <w:tr>
        <w:trPr>
          <w:trHeight w:val="419" w:hRule="atLeast"/>
        </w:trPr>
        <w:tc>
          <w:tcPr>
            <w:tcW w:w="4152" w:type="dxa"/>
          </w:tcPr>
          <w:p>
            <w:pPr>
              <w:pStyle w:val="TableParagraph"/>
              <w:spacing w:before="161"/>
              <w:ind w:left="616"/>
              <w:rPr>
                <w:sz w:val="20"/>
              </w:rPr>
            </w:pPr>
            <w:r>
              <w:rPr>
                <w:color w:val="231F20"/>
                <w:sz w:val="20"/>
              </w:rPr>
              <w:t>Total</w:t>
            </w:r>
            <w:r>
              <w:rPr>
                <w:color w:val="231F20"/>
                <w:spacing w:val="28"/>
                <w:sz w:val="20"/>
              </w:rPr>
              <w:t> </w:t>
            </w:r>
            <w:r>
              <w:rPr>
                <w:color w:val="231F20"/>
                <w:spacing w:val="-2"/>
                <w:sz w:val="20"/>
              </w:rPr>
              <w:t>assets</w:t>
            </w:r>
          </w:p>
        </w:tc>
        <w:tc>
          <w:tcPr>
            <w:tcW w:w="1732" w:type="dxa"/>
          </w:tcPr>
          <w:p>
            <w:pPr>
              <w:pStyle w:val="TableParagraph"/>
              <w:spacing w:before="161"/>
              <w:ind w:right="157"/>
              <w:jc w:val="right"/>
              <w:rPr>
                <w:sz w:val="20"/>
              </w:rPr>
            </w:pPr>
            <w:r>
              <w:rPr>
                <w:color w:val="231F20"/>
                <w:spacing w:val="-2"/>
                <w:sz w:val="20"/>
              </w:rPr>
              <w:t>478,012,138.01</w:t>
            </w:r>
          </w:p>
        </w:tc>
        <w:tc>
          <w:tcPr>
            <w:tcW w:w="1657" w:type="dxa"/>
          </w:tcPr>
          <w:p>
            <w:pPr>
              <w:pStyle w:val="TableParagraph"/>
              <w:spacing w:before="161"/>
              <w:ind w:right="115"/>
              <w:jc w:val="right"/>
              <w:rPr>
                <w:sz w:val="20"/>
              </w:rPr>
            </w:pPr>
            <w:r>
              <w:rPr>
                <w:color w:val="231F20"/>
                <w:spacing w:val="-2"/>
                <w:sz w:val="20"/>
              </w:rPr>
              <w:t>364,136,444.05</w:t>
            </w:r>
          </w:p>
        </w:tc>
      </w:tr>
      <w:tr>
        <w:trPr>
          <w:trHeight w:val="280" w:hRule="atLeast"/>
        </w:trPr>
        <w:tc>
          <w:tcPr>
            <w:tcW w:w="4152" w:type="dxa"/>
          </w:tcPr>
          <w:p>
            <w:pPr>
              <w:pStyle w:val="TableParagraph"/>
              <w:ind w:left="616"/>
              <w:rPr>
                <w:sz w:val="20"/>
              </w:rPr>
            </w:pPr>
            <w:r>
              <w:rPr>
                <w:color w:val="231F20"/>
                <w:sz w:val="20"/>
              </w:rPr>
              <w:t>Total</w:t>
            </w:r>
            <w:r>
              <w:rPr>
                <w:color w:val="231F20"/>
                <w:spacing w:val="30"/>
                <w:sz w:val="20"/>
              </w:rPr>
              <w:t> </w:t>
            </w:r>
            <w:r>
              <w:rPr>
                <w:color w:val="231F20"/>
                <w:spacing w:val="-2"/>
                <w:sz w:val="20"/>
              </w:rPr>
              <w:t>liabilities</w:t>
            </w:r>
          </w:p>
        </w:tc>
        <w:tc>
          <w:tcPr>
            <w:tcW w:w="1732" w:type="dxa"/>
          </w:tcPr>
          <w:p>
            <w:pPr>
              <w:pStyle w:val="TableParagraph"/>
              <w:ind w:right="157"/>
              <w:jc w:val="right"/>
              <w:rPr>
                <w:sz w:val="20"/>
              </w:rPr>
            </w:pPr>
            <w:r>
              <w:rPr>
                <w:color w:val="231F20"/>
                <w:spacing w:val="-2"/>
                <w:sz w:val="20"/>
              </w:rPr>
              <w:t>328,825,339.52</w:t>
            </w:r>
          </w:p>
        </w:tc>
        <w:tc>
          <w:tcPr>
            <w:tcW w:w="1657" w:type="dxa"/>
          </w:tcPr>
          <w:p>
            <w:pPr>
              <w:pStyle w:val="TableParagraph"/>
              <w:ind w:right="115"/>
              <w:jc w:val="right"/>
              <w:rPr>
                <w:sz w:val="20"/>
              </w:rPr>
            </w:pPr>
            <w:r>
              <w:rPr>
                <w:color w:val="231F20"/>
                <w:spacing w:val="-2"/>
                <w:sz w:val="20"/>
              </w:rPr>
              <w:t>238,405,632.19</w:t>
            </w:r>
          </w:p>
        </w:tc>
      </w:tr>
      <w:tr>
        <w:trPr>
          <w:trHeight w:val="280" w:hRule="atLeast"/>
        </w:trPr>
        <w:tc>
          <w:tcPr>
            <w:tcW w:w="4152" w:type="dxa"/>
          </w:tcPr>
          <w:p>
            <w:pPr>
              <w:pStyle w:val="TableParagraph"/>
              <w:ind w:left="616"/>
              <w:rPr>
                <w:sz w:val="20"/>
              </w:rPr>
            </w:pPr>
            <w:r>
              <w:rPr>
                <w:color w:val="231F20"/>
                <w:sz w:val="20"/>
              </w:rPr>
              <w:t>Net</w:t>
            </w:r>
            <w:r>
              <w:rPr>
                <w:color w:val="231F20"/>
                <w:spacing w:val="18"/>
                <w:sz w:val="20"/>
              </w:rPr>
              <w:t> </w:t>
            </w:r>
            <w:r>
              <w:rPr>
                <w:color w:val="231F20"/>
                <w:spacing w:val="-2"/>
                <w:sz w:val="20"/>
              </w:rPr>
              <w:t>assets</w:t>
            </w:r>
          </w:p>
        </w:tc>
        <w:tc>
          <w:tcPr>
            <w:tcW w:w="1732" w:type="dxa"/>
          </w:tcPr>
          <w:p>
            <w:pPr>
              <w:pStyle w:val="TableParagraph"/>
              <w:ind w:right="157"/>
              <w:jc w:val="right"/>
              <w:rPr>
                <w:sz w:val="20"/>
              </w:rPr>
            </w:pPr>
            <w:r>
              <w:rPr>
                <w:color w:val="231F20"/>
                <w:spacing w:val="-2"/>
                <w:sz w:val="20"/>
              </w:rPr>
              <w:t>149,186,798.49</w:t>
            </w:r>
          </w:p>
        </w:tc>
        <w:tc>
          <w:tcPr>
            <w:tcW w:w="1657" w:type="dxa"/>
          </w:tcPr>
          <w:p>
            <w:pPr>
              <w:pStyle w:val="TableParagraph"/>
              <w:ind w:right="115"/>
              <w:jc w:val="right"/>
              <w:rPr>
                <w:sz w:val="20"/>
              </w:rPr>
            </w:pPr>
            <w:r>
              <w:rPr>
                <w:color w:val="231F20"/>
                <w:spacing w:val="-2"/>
                <w:sz w:val="20"/>
              </w:rPr>
              <w:t>125,730,811.86</w:t>
            </w:r>
          </w:p>
        </w:tc>
      </w:tr>
      <w:tr>
        <w:trPr>
          <w:trHeight w:val="280" w:hRule="atLeast"/>
        </w:trPr>
        <w:tc>
          <w:tcPr>
            <w:tcW w:w="4152" w:type="dxa"/>
          </w:tcPr>
          <w:p>
            <w:pPr>
              <w:pStyle w:val="TableParagraph"/>
              <w:ind w:left="616"/>
              <w:rPr>
                <w:sz w:val="20"/>
              </w:rPr>
            </w:pPr>
            <w:r>
              <w:rPr>
                <w:color w:val="231F20"/>
                <w:sz w:val="20"/>
              </w:rPr>
              <w:t>Operating</w:t>
            </w:r>
            <w:r>
              <w:rPr>
                <w:color w:val="231F20"/>
                <w:spacing w:val="50"/>
                <w:sz w:val="20"/>
              </w:rPr>
              <w:t> </w:t>
            </w:r>
            <w:r>
              <w:rPr>
                <w:color w:val="231F20"/>
                <w:spacing w:val="-2"/>
                <w:sz w:val="20"/>
              </w:rPr>
              <w:t>revenue</w:t>
            </w:r>
          </w:p>
        </w:tc>
        <w:tc>
          <w:tcPr>
            <w:tcW w:w="1732" w:type="dxa"/>
          </w:tcPr>
          <w:p>
            <w:pPr>
              <w:pStyle w:val="TableParagraph"/>
              <w:ind w:right="157"/>
              <w:jc w:val="right"/>
              <w:rPr>
                <w:sz w:val="20"/>
              </w:rPr>
            </w:pPr>
            <w:r>
              <w:rPr>
                <w:color w:val="231F20"/>
                <w:spacing w:val="-2"/>
                <w:sz w:val="20"/>
              </w:rPr>
              <w:t>265,644,330.00</w:t>
            </w:r>
          </w:p>
        </w:tc>
        <w:tc>
          <w:tcPr>
            <w:tcW w:w="1657" w:type="dxa"/>
          </w:tcPr>
          <w:p>
            <w:pPr>
              <w:pStyle w:val="TableParagraph"/>
              <w:ind w:right="115"/>
              <w:jc w:val="right"/>
              <w:rPr>
                <w:sz w:val="20"/>
              </w:rPr>
            </w:pPr>
            <w:r>
              <w:rPr>
                <w:color w:val="231F20"/>
                <w:spacing w:val="-2"/>
                <w:sz w:val="20"/>
              </w:rPr>
              <w:t>430,443,582.87</w:t>
            </w:r>
          </w:p>
        </w:tc>
      </w:tr>
      <w:tr>
        <w:trPr>
          <w:trHeight w:val="280" w:hRule="atLeast"/>
        </w:trPr>
        <w:tc>
          <w:tcPr>
            <w:tcW w:w="4152" w:type="dxa"/>
          </w:tcPr>
          <w:p>
            <w:pPr>
              <w:pStyle w:val="TableParagraph"/>
              <w:ind w:left="616"/>
              <w:rPr>
                <w:sz w:val="20"/>
              </w:rPr>
            </w:pPr>
            <w:r>
              <w:rPr>
                <w:color w:val="231F20"/>
                <w:sz w:val="20"/>
              </w:rPr>
              <w:t>Total</w:t>
            </w:r>
            <w:r>
              <w:rPr>
                <w:color w:val="231F20"/>
                <w:spacing w:val="28"/>
                <w:sz w:val="20"/>
              </w:rPr>
              <w:t> </w:t>
            </w:r>
            <w:r>
              <w:rPr>
                <w:color w:val="231F20"/>
                <w:spacing w:val="-2"/>
                <w:sz w:val="20"/>
              </w:rPr>
              <w:t>profit</w:t>
            </w:r>
          </w:p>
        </w:tc>
        <w:tc>
          <w:tcPr>
            <w:tcW w:w="1732" w:type="dxa"/>
          </w:tcPr>
          <w:p>
            <w:pPr>
              <w:pStyle w:val="TableParagraph"/>
              <w:ind w:right="157"/>
              <w:jc w:val="right"/>
              <w:rPr>
                <w:sz w:val="20"/>
              </w:rPr>
            </w:pPr>
            <w:r>
              <w:rPr>
                <w:color w:val="231F20"/>
                <w:spacing w:val="-2"/>
                <w:sz w:val="20"/>
              </w:rPr>
              <w:t>27,506,979.65</w:t>
            </w:r>
          </w:p>
        </w:tc>
        <w:tc>
          <w:tcPr>
            <w:tcW w:w="1657" w:type="dxa"/>
          </w:tcPr>
          <w:p>
            <w:pPr>
              <w:pStyle w:val="TableParagraph"/>
              <w:ind w:right="115"/>
              <w:jc w:val="right"/>
              <w:rPr>
                <w:sz w:val="20"/>
              </w:rPr>
            </w:pPr>
            <w:r>
              <w:rPr>
                <w:color w:val="231F20"/>
                <w:spacing w:val="-2"/>
                <w:sz w:val="20"/>
              </w:rPr>
              <w:t>44,795,336.05</w:t>
            </w:r>
          </w:p>
        </w:tc>
      </w:tr>
      <w:tr>
        <w:trPr>
          <w:trHeight w:val="420" w:hRule="atLeast"/>
        </w:trPr>
        <w:tc>
          <w:tcPr>
            <w:tcW w:w="4152" w:type="dxa"/>
          </w:tcPr>
          <w:p>
            <w:pPr>
              <w:pStyle w:val="TableParagraph"/>
              <w:ind w:left="616"/>
              <w:rPr>
                <w:sz w:val="20"/>
              </w:rPr>
            </w:pPr>
            <w:r>
              <w:rPr>
                <w:color w:val="231F20"/>
                <w:sz w:val="20"/>
              </w:rPr>
              <w:t>Net</w:t>
            </w:r>
            <w:r>
              <w:rPr>
                <w:color w:val="231F20"/>
                <w:spacing w:val="18"/>
                <w:sz w:val="20"/>
              </w:rPr>
              <w:t> </w:t>
            </w:r>
            <w:r>
              <w:rPr>
                <w:color w:val="231F20"/>
                <w:spacing w:val="-2"/>
                <w:sz w:val="20"/>
              </w:rPr>
              <w:t>profit</w:t>
            </w:r>
          </w:p>
        </w:tc>
        <w:tc>
          <w:tcPr>
            <w:tcW w:w="1732" w:type="dxa"/>
          </w:tcPr>
          <w:p>
            <w:pPr>
              <w:pStyle w:val="TableParagraph"/>
              <w:ind w:right="157"/>
              <w:jc w:val="right"/>
              <w:rPr>
                <w:sz w:val="20"/>
              </w:rPr>
            </w:pPr>
            <w:r>
              <w:rPr>
                <w:color w:val="231F20"/>
                <w:spacing w:val="-2"/>
                <w:sz w:val="20"/>
              </w:rPr>
              <w:t>23,455,986.63</w:t>
            </w:r>
          </w:p>
        </w:tc>
        <w:tc>
          <w:tcPr>
            <w:tcW w:w="1657" w:type="dxa"/>
          </w:tcPr>
          <w:p>
            <w:pPr>
              <w:pStyle w:val="TableParagraph"/>
              <w:ind w:right="115"/>
              <w:jc w:val="right"/>
              <w:rPr>
                <w:sz w:val="20"/>
              </w:rPr>
            </w:pPr>
            <w:r>
              <w:rPr>
                <w:color w:val="231F20"/>
                <w:spacing w:val="-2"/>
                <w:sz w:val="20"/>
              </w:rPr>
              <w:t>37,990,430.66</w:t>
            </w:r>
          </w:p>
        </w:tc>
      </w:tr>
      <w:tr>
        <w:trPr>
          <w:trHeight w:val="391" w:hRule="atLeast"/>
        </w:trPr>
        <w:tc>
          <w:tcPr>
            <w:tcW w:w="4152" w:type="dxa"/>
          </w:tcPr>
          <w:p>
            <w:pPr>
              <w:pStyle w:val="TableParagraph"/>
              <w:tabs>
                <w:tab w:pos="616" w:val="left" w:leader="none"/>
              </w:tabs>
              <w:spacing w:line="210" w:lineRule="exact" w:before="161"/>
              <w:ind w:left="50"/>
              <w:rPr>
                <w:sz w:val="20"/>
              </w:rPr>
            </w:pPr>
            <w:r>
              <w:rPr>
                <w:color w:val="231F20"/>
                <w:spacing w:val="-5"/>
                <w:sz w:val="20"/>
              </w:rPr>
              <w:t>9.</w:t>
            </w:r>
            <w:r>
              <w:rPr>
                <w:color w:val="231F20"/>
                <w:sz w:val="20"/>
              </w:rPr>
              <w:tab/>
              <w:t>Credit</w:t>
            </w:r>
            <w:r>
              <w:rPr>
                <w:color w:val="231F20"/>
                <w:spacing w:val="33"/>
                <w:sz w:val="20"/>
              </w:rPr>
              <w:t> </w:t>
            </w:r>
            <w:r>
              <w:rPr>
                <w:color w:val="231F20"/>
                <w:sz w:val="20"/>
              </w:rPr>
              <w:t>rating:</w:t>
            </w:r>
            <w:r>
              <w:rPr>
                <w:color w:val="231F20"/>
                <w:spacing w:val="34"/>
                <w:sz w:val="20"/>
              </w:rPr>
              <w:t> </w:t>
            </w:r>
            <w:r>
              <w:rPr>
                <w:color w:val="231F20"/>
                <w:sz w:val="20"/>
              </w:rPr>
              <w:t>No</w:t>
            </w:r>
            <w:r>
              <w:rPr>
                <w:color w:val="231F20"/>
                <w:spacing w:val="33"/>
                <w:sz w:val="20"/>
              </w:rPr>
              <w:t> </w:t>
            </w:r>
            <w:r>
              <w:rPr>
                <w:color w:val="231F20"/>
                <w:sz w:val="20"/>
              </w:rPr>
              <w:t>external</w:t>
            </w:r>
            <w:r>
              <w:rPr>
                <w:color w:val="231F20"/>
                <w:spacing w:val="34"/>
                <w:sz w:val="20"/>
              </w:rPr>
              <w:t> </w:t>
            </w:r>
            <w:r>
              <w:rPr>
                <w:color w:val="231F20"/>
                <w:sz w:val="20"/>
              </w:rPr>
              <w:t>credit</w:t>
            </w:r>
            <w:r>
              <w:rPr>
                <w:color w:val="231F20"/>
                <w:spacing w:val="33"/>
                <w:sz w:val="20"/>
              </w:rPr>
              <w:t> </w:t>
            </w:r>
            <w:r>
              <w:rPr>
                <w:color w:val="231F20"/>
                <w:spacing w:val="-2"/>
                <w:sz w:val="20"/>
              </w:rPr>
              <w:t>rating</w:t>
            </w:r>
          </w:p>
        </w:tc>
        <w:tc>
          <w:tcPr>
            <w:tcW w:w="1732" w:type="dxa"/>
          </w:tcPr>
          <w:p>
            <w:pPr>
              <w:pStyle w:val="TableParagraph"/>
              <w:spacing w:before="0"/>
              <w:rPr>
                <w:sz w:val="20"/>
              </w:rPr>
            </w:pPr>
          </w:p>
        </w:tc>
        <w:tc>
          <w:tcPr>
            <w:tcW w:w="1657" w:type="dxa"/>
          </w:tcPr>
          <w:p>
            <w:pPr>
              <w:pStyle w:val="TableParagraph"/>
              <w:spacing w:before="0"/>
              <w:rPr>
                <w:sz w:val="20"/>
              </w:rPr>
            </w:pPr>
          </w:p>
        </w:tc>
      </w:tr>
    </w:tbl>
    <w:p>
      <w:pPr>
        <w:pStyle w:val="BodyText"/>
        <w:spacing w:before="102"/>
      </w:pPr>
    </w:p>
    <w:p>
      <w:pPr>
        <w:pStyle w:val="BodyText"/>
        <w:ind w:left="2410"/>
      </w:pPr>
      <w:r>
        <w:rPr>
          <w:color w:val="231F20"/>
        </w:rPr>
        <w:t>Upon</w:t>
      </w:r>
      <w:r>
        <w:rPr>
          <w:color w:val="231F20"/>
          <w:spacing w:val="36"/>
        </w:rPr>
        <w:t> </w:t>
      </w:r>
      <w:r>
        <w:rPr>
          <w:color w:val="231F20"/>
        </w:rPr>
        <w:t>verification,</w:t>
      </w:r>
      <w:r>
        <w:rPr>
          <w:color w:val="231F20"/>
          <w:spacing w:val="37"/>
        </w:rPr>
        <w:t> </w:t>
      </w:r>
      <w:r>
        <w:rPr>
          <w:color w:val="231F20"/>
        </w:rPr>
        <w:t>Jihong</w:t>
      </w:r>
      <w:r>
        <w:rPr>
          <w:color w:val="231F20"/>
          <w:spacing w:val="38"/>
        </w:rPr>
        <w:t> </w:t>
      </w:r>
      <w:r>
        <w:rPr>
          <w:color w:val="231F20"/>
        </w:rPr>
        <w:t>Industry</w:t>
      </w:r>
      <w:r>
        <w:rPr>
          <w:color w:val="231F20"/>
          <w:spacing w:val="37"/>
        </w:rPr>
        <w:t> </w:t>
      </w:r>
      <w:r>
        <w:rPr>
          <w:color w:val="231F20"/>
        </w:rPr>
        <w:t>is</w:t>
      </w:r>
      <w:r>
        <w:rPr>
          <w:color w:val="231F20"/>
          <w:spacing w:val="37"/>
        </w:rPr>
        <w:t> </w:t>
      </w:r>
      <w:r>
        <w:rPr>
          <w:color w:val="231F20"/>
        </w:rPr>
        <w:t>not</w:t>
      </w:r>
      <w:r>
        <w:rPr>
          <w:color w:val="231F20"/>
          <w:spacing w:val="38"/>
        </w:rPr>
        <w:t> </w:t>
      </w:r>
      <w:r>
        <w:rPr>
          <w:color w:val="231F20"/>
        </w:rPr>
        <w:t>an</w:t>
      </w:r>
      <w:r>
        <w:rPr>
          <w:color w:val="231F20"/>
          <w:spacing w:val="37"/>
        </w:rPr>
        <w:t> </w:t>
      </w:r>
      <w:r>
        <w:rPr>
          <w:color w:val="231F20"/>
        </w:rPr>
        <w:t>untrustworthy</w:t>
      </w:r>
      <w:r>
        <w:rPr>
          <w:color w:val="231F20"/>
          <w:spacing w:val="37"/>
        </w:rPr>
        <w:t> </w:t>
      </w:r>
      <w:r>
        <w:rPr>
          <w:color w:val="231F20"/>
        </w:rPr>
        <w:t>judgment</w:t>
      </w:r>
      <w:r>
        <w:rPr>
          <w:color w:val="231F20"/>
          <w:spacing w:val="38"/>
        </w:rPr>
        <w:t> </w:t>
      </w:r>
      <w:r>
        <w:rPr>
          <w:color w:val="231F20"/>
          <w:spacing w:val="-2"/>
        </w:rPr>
        <w:t>defaulter.</w:t>
      </w:r>
    </w:p>
    <w:p>
      <w:pPr>
        <w:pStyle w:val="BodyText"/>
        <w:spacing w:before="91"/>
      </w:pPr>
    </w:p>
    <w:p>
      <w:pPr>
        <w:pStyle w:val="Heading5"/>
        <w:numPr>
          <w:ilvl w:val="0"/>
          <w:numId w:val="8"/>
        </w:numPr>
        <w:tabs>
          <w:tab w:pos="1843" w:val="left" w:leader="none"/>
        </w:tabs>
        <w:spacing w:line="196" w:lineRule="auto" w:before="0" w:after="0"/>
        <w:ind w:left="1843" w:right="136" w:hanging="567"/>
        <w:jc w:val="left"/>
        <w:rPr>
          <w:i/>
        </w:rPr>
      </w:pPr>
      <w:r>
        <w:rPr>
          <w:i/>
          <w:color w:val="231F20"/>
        </w:rPr>
        <w:t>Ningxia</w:t>
      </w:r>
      <w:r>
        <w:rPr>
          <w:i/>
          <w:color w:val="231F20"/>
          <w:spacing w:val="40"/>
        </w:rPr>
        <w:t> </w:t>
      </w:r>
      <w:r>
        <w:rPr>
          <w:i/>
          <w:color w:val="231F20"/>
        </w:rPr>
        <w:t>Jihong</w:t>
      </w:r>
      <w:r>
        <w:rPr>
          <w:i/>
          <w:color w:val="231F20"/>
          <w:spacing w:val="40"/>
        </w:rPr>
        <w:t> </w:t>
      </w:r>
      <w:r>
        <w:rPr>
          <w:i/>
          <w:color w:val="231F20"/>
        </w:rPr>
        <w:t>Environmental</w:t>
      </w:r>
      <w:r>
        <w:rPr>
          <w:i/>
          <w:color w:val="231F20"/>
          <w:spacing w:val="40"/>
        </w:rPr>
        <w:t> </w:t>
      </w:r>
      <w:r>
        <w:rPr>
          <w:i/>
          <w:color w:val="231F20"/>
        </w:rPr>
        <w:t>Protection</w:t>
      </w:r>
      <w:r>
        <w:rPr>
          <w:i/>
          <w:color w:val="231F20"/>
          <w:spacing w:val="40"/>
        </w:rPr>
        <w:t> </w:t>
      </w:r>
      <w:r>
        <w:rPr>
          <w:i/>
          <w:color w:val="231F20"/>
        </w:rPr>
        <w:t>Packaging</w:t>
      </w:r>
      <w:r>
        <w:rPr>
          <w:i/>
          <w:color w:val="231F20"/>
          <w:spacing w:val="40"/>
        </w:rPr>
        <w:t> </w:t>
      </w:r>
      <w:r>
        <w:rPr>
          <w:i/>
          <w:color w:val="231F20"/>
        </w:rPr>
        <w:t>Technology</w:t>
      </w:r>
      <w:r>
        <w:rPr>
          <w:i/>
          <w:color w:val="231F20"/>
          <w:spacing w:val="40"/>
        </w:rPr>
        <w:t> </w:t>
      </w:r>
      <w:r>
        <w:rPr>
          <w:i/>
          <w:color w:val="231F20"/>
        </w:rPr>
        <w:t>Co.</w:t>
      </w:r>
      <w:r>
        <w:rPr>
          <w:i/>
          <w:color w:val="231F20"/>
          <w:spacing w:val="20"/>
        </w:rPr>
        <w:t>, </w:t>
      </w:r>
      <w:r>
        <w:rPr>
          <w:i/>
          <w:color w:val="231F20"/>
        </w:rPr>
        <w:t>Limited*</w:t>
      </w:r>
      <w:r>
        <w:rPr>
          <w:i/>
          <w:color w:val="231F20"/>
          <w:spacing w:val="20"/>
        </w:rPr>
        <w:t> (</w:t>
      </w:r>
      <w:r>
        <w:rPr>
          <w:rFonts w:ascii="Microsoft YaHei" w:eastAsia="Microsoft YaHei"/>
          <w:color w:val="231F20"/>
        </w:rPr>
        <w:t>寧</w:t>
      </w:r>
      <w:r>
        <w:rPr>
          <w:rFonts w:ascii="Microsoft YaHei" w:eastAsia="Microsoft YaHei"/>
          <w:color w:val="231F20"/>
          <w:spacing w:val="-2"/>
        </w:rPr>
        <w:t>夏吉宏環保包裝科技有限公司</w:t>
      </w:r>
      <w:r>
        <w:rPr>
          <w:i/>
          <w:color w:val="231F20"/>
          <w:spacing w:val="-2"/>
        </w:rPr>
        <w:t>)</w:t>
      </w:r>
    </w:p>
    <w:p>
      <w:pPr>
        <w:pStyle w:val="BodyText"/>
        <w:spacing w:before="56"/>
        <w:rPr>
          <w:b/>
          <w:i/>
        </w:rPr>
      </w:pPr>
    </w:p>
    <w:p>
      <w:pPr>
        <w:pStyle w:val="ListParagraph"/>
        <w:numPr>
          <w:ilvl w:val="1"/>
          <w:numId w:val="8"/>
        </w:numPr>
        <w:tabs>
          <w:tab w:pos="2410" w:val="left" w:leader="none"/>
        </w:tabs>
        <w:spacing w:line="292" w:lineRule="auto" w:before="0" w:after="0"/>
        <w:ind w:left="2410" w:right="138" w:hanging="567"/>
        <w:jc w:val="both"/>
        <w:rPr>
          <w:sz w:val="20"/>
        </w:rPr>
      </w:pPr>
      <w:r>
        <w:rPr>
          <w:color w:val="231F20"/>
          <w:sz w:val="20"/>
        </w:rPr>
        <w:t>Company name: Ningxia Jihong Environmental Protection Packaging Technology Co., Limited* (</w:t>
      </w:r>
      <w:r>
        <w:rPr>
          <w:rFonts w:ascii="新細明體" w:eastAsia="新細明體"/>
          <w:color w:val="231F20"/>
          <w:sz w:val="20"/>
        </w:rPr>
        <w:t>寧夏吉宏環保包裝科技有限公司</w:t>
      </w:r>
      <w:r>
        <w:rPr>
          <w:color w:val="231F20"/>
          <w:sz w:val="20"/>
        </w:rPr>
        <w:t>)</w:t>
      </w:r>
    </w:p>
    <w:p>
      <w:pPr>
        <w:pStyle w:val="BodyText"/>
        <w:spacing w:before="6"/>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Date</w:t>
      </w:r>
      <w:r>
        <w:rPr>
          <w:color w:val="231F20"/>
          <w:spacing w:val="36"/>
          <w:sz w:val="20"/>
        </w:rPr>
        <w:t> </w:t>
      </w:r>
      <w:r>
        <w:rPr>
          <w:color w:val="231F20"/>
          <w:sz w:val="20"/>
        </w:rPr>
        <w:t>of</w:t>
      </w:r>
      <w:r>
        <w:rPr>
          <w:color w:val="231F20"/>
          <w:spacing w:val="36"/>
          <w:sz w:val="20"/>
        </w:rPr>
        <w:t> </w:t>
      </w:r>
      <w:r>
        <w:rPr>
          <w:color w:val="231F20"/>
          <w:sz w:val="20"/>
        </w:rPr>
        <w:t>establishment:</w:t>
      </w:r>
      <w:r>
        <w:rPr>
          <w:color w:val="231F20"/>
          <w:spacing w:val="36"/>
          <w:sz w:val="20"/>
        </w:rPr>
        <w:t> </w:t>
      </w:r>
      <w:r>
        <w:rPr>
          <w:color w:val="231F20"/>
          <w:sz w:val="20"/>
        </w:rPr>
        <w:t>December</w:t>
      </w:r>
      <w:r>
        <w:rPr>
          <w:color w:val="231F20"/>
          <w:spacing w:val="36"/>
          <w:sz w:val="20"/>
        </w:rPr>
        <w:t> </w:t>
      </w:r>
      <w:r>
        <w:rPr>
          <w:color w:val="231F20"/>
          <w:sz w:val="20"/>
        </w:rPr>
        <w:t>28,</w:t>
      </w:r>
      <w:r>
        <w:rPr>
          <w:color w:val="231F20"/>
          <w:spacing w:val="36"/>
          <w:sz w:val="20"/>
        </w:rPr>
        <w:t> </w:t>
      </w:r>
      <w:r>
        <w:rPr>
          <w:color w:val="231F20"/>
          <w:spacing w:val="-4"/>
          <w:sz w:val="20"/>
        </w:rPr>
        <w:t>2018</w:t>
      </w:r>
    </w:p>
    <w:p>
      <w:pPr>
        <w:pStyle w:val="BodyText"/>
        <w:spacing w:before="100"/>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Place</w:t>
      </w:r>
      <w:r>
        <w:rPr>
          <w:color w:val="231F20"/>
          <w:spacing w:val="42"/>
          <w:sz w:val="20"/>
        </w:rPr>
        <w:t> </w:t>
      </w:r>
      <w:r>
        <w:rPr>
          <w:color w:val="231F20"/>
          <w:sz w:val="20"/>
        </w:rPr>
        <w:t>of</w:t>
      </w:r>
      <w:r>
        <w:rPr>
          <w:color w:val="231F20"/>
          <w:spacing w:val="43"/>
          <w:sz w:val="20"/>
        </w:rPr>
        <w:t> </w:t>
      </w:r>
      <w:r>
        <w:rPr>
          <w:color w:val="231F20"/>
          <w:sz w:val="20"/>
        </w:rPr>
        <w:t>registration:</w:t>
      </w:r>
      <w:r>
        <w:rPr>
          <w:color w:val="231F20"/>
          <w:spacing w:val="42"/>
          <w:sz w:val="20"/>
        </w:rPr>
        <w:t> </w:t>
      </w:r>
      <w:r>
        <w:rPr>
          <w:color w:val="231F20"/>
          <w:sz w:val="20"/>
        </w:rPr>
        <w:t>Qingchongxia</w:t>
      </w:r>
      <w:r>
        <w:rPr>
          <w:color w:val="231F20"/>
          <w:spacing w:val="43"/>
          <w:sz w:val="20"/>
        </w:rPr>
        <w:t> </w:t>
      </w:r>
      <w:r>
        <w:rPr>
          <w:color w:val="231F20"/>
          <w:sz w:val="20"/>
        </w:rPr>
        <w:t>Industrial</w:t>
      </w:r>
      <w:r>
        <w:rPr>
          <w:color w:val="231F20"/>
          <w:spacing w:val="42"/>
          <w:sz w:val="20"/>
        </w:rPr>
        <w:t> </w:t>
      </w:r>
      <w:r>
        <w:rPr>
          <w:color w:val="231F20"/>
          <w:sz w:val="20"/>
        </w:rPr>
        <w:t>Park</w:t>
      </w:r>
      <w:r>
        <w:rPr>
          <w:color w:val="231F20"/>
          <w:spacing w:val="43"/>
          <w:sz w:val="20"/>
        </w:rPr>
        <w:t> </w:t>
      </w:r>
      <w:r>
        <w:rPr>
          <w:color w:val="231F20"/>
          <w:sz w:val="20"/>
        </w:rPr>
        <w:t>(Qinshui</w:t>
      </w:r>
      <w:r>
        <w:rPr>
          <w:color w:val="231F20"/>
          <w:spacing w:val="42"/>
          <w:sz w:val="20"/>
        </w:rPr>
        <w:t> </w:t>
      </w:r>
      <w:r>
        <w:rPr>
          <w:color w:val="231F20"/>
          <w:sz w:val="20"/>
        </w:rPr>
        <w:t>Road),</w:t>
      </w:r>
      <w:r>
        <w:rPr>
          <w:color w:val="231F20"/>
          <w:spacing w:val="43"/>
          <w:sz w:val="20"/>
        </w:rPr>
        <w:t> </w:t>
      </w:r>
      <w:r>
        <w:rPr>
          <w:color w:val="231F20"/>
          <w:spacing w:val="-2"/>
          <w:sz w:val="20"/>
        </w:rPr>
        <w:t>Ningxia</w:t>
      </w:r>
    </w:p>
    <w:p>
      <w:pPr>
        <w:pStyle w:val="BodyText"/>
        <w:spacing w:before="100"/>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Registered</w:t>
      </w:r>
      <w:r>
        <w:rPr>
          <w:color w:val="231F20"/>
          <w:spacing w:val="43"/>
          <w:sz w:val="20"/>
        </w:rPr>
        <w:t> </w:t>
      </w:r>
      <w:r>
        <w:rPr>
          <w:color w:val="231F20"/>
          <w:sz w:val="20"/>
        </w:rPr>
        <w:t>capital:</w:t>
      </w:r>
      <w:r>
        <w:rPr>
          <w:color w:val="231F20"/>
          <w:spacing w:val="43"/>
          <w:sz w:val="20"/>
        </w:rPr>
        <w:t> </w:t>
      </w:r>
      <w:r>
        <w:rPr>
          <w:color w:val="231F20"/>
          <w:sz w:val="20"/>
        </w:rPr>
        <w:t>RMB50</w:t>
      </w:r>
      <w:r>
        <w:rPr>
          <w:color w:val="231F20"/>
          <w:spacing w:val="44"/>
          <w:sz w:val="20"/>
        </w:rPr>
        <w:t> </w:t>
      </w:r>
      <w:r>
        <w:rPr>
          <w:color w:val="231F20"/>
          <w:spacing w:val="-2"/>
          <w:sz w:val="20"/>
        </w:rPr>
        <w:t>million</w:t>
      </w:r>
    </w:p>
    <w:p>
      <w:pPr>
        <w:pStyle w:val="BodyText"/>
        <w:spacing w:before="100"/>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Legal</w:t>
      </w:r>
      <w:r>
        <w:rPr>
          <w:color w:val="231F20"/>
          <w:spacing w:val="46"/>
          <w:sz w:val="20"/>
        </w:rPr>
        <w:t> </w:t>
      </w:r>
      <w:r>
        <w:rPr>
          <w:color w:val="231F20"/>
          <w:sz w:val="20"/>
        </w:rPr>
        <w:t>representative:</w:t>
      </w:r>
      <w:r>
        <w:rPr>
          <w:color w:val="231F20"/>
          <w:spacing w:val="47"/>
          <w:sz w:val="20"/>
        </w:rPr>
        <w:t> </w:t>
      </w:r>
      <w:r>
        <w:rPr>
          <w:color w:val="231F20"/>
          <w:sz w:val="20"/>
        </w:rPr>
        <w:t>Zhang</w:t>
      </w:r>
      <w:r>
        <w:rPr>
          <w:color w:val="231F20"/>
          <w:spacing w:val="47"/>
          <w:sz w:val="20"/>
        </w:rPr>
        <w:t> </w:t>
      </w:r>
      <w:r>
        <w:rPr>
          <w:color w:val="231F20"/>
          <w:spacing w:val="-2"/>
          <w:sz w:val="20"/>
        </w:rPr>
        <w:t>Heping</w:t>
      </w:r>
    </w:p>
    <w:p>
      <w:pPr>
        <w:pStyle w:val="BodyText"/>
        <w:spacing w:before="100"/>
      </w:pPr>
    </w:p>
    <w:p>
      <w:pPr>
        <w:pStyle w:val="ListParagraph"/>
        <w:numPr>
          <w:ilvl w:val="1"/>
          <w:numId w:val="8"/>
        </w:numPr>
        <w:tabs>
          <w:tab w:pos="2410" w:val="left" w:leader="none"/>
        </w:tabs>
        <w:spacing w:line="292" w:lineRule="auto" w:before="0" w:after="0"/>
        <w:ind w:left="2410" w:right="131" w:hanging="567"/>
        <w:jc w:val="both"/>
        <w:rPr>
          <w:sz w:val="20"/>
        </w:rPr>
      </w:pPr>
      <w:r>
        <w:rPr>
          <w:color w:val="231F20"/>
          <w:sz w:val="20"/>
        </w:rPr>
        <w:t>Scope of business: packaging and decoration printing (operating with qualification certificates); production and sales of paper products, plastic products (excluding waste</w:t>
      </w:r>
      <w:r>
        <w:rPr>
          <w:color w:val="231F20"/>
          <w:spacing w:val="40"/>
          <w:sz w:val="20"/>
        </w:rPr>
        <w:t> </w:t>
      </w:r>
      <w:r>
        <w:rPr>
          <w:color w:val="231F20"/>
          <w:sz w:val="20"/>
        </w:rPr>
        <w:t>plastics);</w:t>
      </w:r>
      <w:r>
        <w:rPr>
          <w:color w:val="231F20"/>
          <w:spacing w:val="40"/>
          <w:sz w:val="20"/>
        </w:rPr>
        <w:t> </w:t>
      </w:r>
      <w:r>
        <w:rPr>
          <w:color w:val="231F20"/>
          <w:sz w:val="20"/>
        </w:rPr>
        <w:t>advertising</w:t>
      </w:r>
      <w:r>
        <w:rPr>
          <w:color w:val="231F20"/>
          <w:spacing w:val="40"/>
          <w:sz w:val="20"/>
        </w:rPr>
        <w:t> </w:t>
      </w:r>
      <w:r>
        <w:rPr>
          <w:color w:val="231F20"/>
          <w:sz w:val="20"/>
        </w:rPr>
        <w:t>design,</w:t>
      </w:r>
      <w:r>
        <w:rPr>
          <w:color w:val="231F20"/>
          <w:spacing w:val="40"/>
          <w:sz w:val="20"/>
        </w:rPr>
        <w:t> </w:t>
      </w:r>
      <w:r>
        <w:rPr>
          <w:color w:val="231F20"/>
          <w:sz w:val="20"/>
        </w:rPr>
        <w:t>production,</w:t>
      </w:r>
      <w:r>
        <w:rPr>
          <w:color w:val="231F20"/>
          <w:spacing w:val="40"/>
          <w:sz w:val="20"/>
        </w:rPr>
        <w:t> </w:t>
      </w:r>
      <w:r>
        <w:rPr>
          <w:color w:val="231F20"/>
          <w:sz w:val="20"/>
        </w:rPr>
        <w:t>agency,</w:t>
      </w:r>
      <w:r>
        <w:rPr>
          <w:color w:val="231F20"/>
          <w:spacing w:val="40"/>
          <w:sz w:val="20"/>
        </w:rPr>
        <w:t> </w:t>
      </w:r>
      <w:r>
        <w:rPr>
          <w:color w:val="231F20"/>
          <w:sz w:val="20"/>
        </w:rPr>
        <w:t>and</w:t>
      </w:r>
      <w:r>
        <w:rPr>
          <w:color w:val="231F20"/>
          <w:spacing w:val="40"/>
          <w:sz w:val="20"/>
        </w:rPr>
        <w:t> </w:t>
      </w:r>
      <w:r>
        <w:rPr>
          <w:color w:val="231F20"/>
          <w:sz w:val="20"/>
        </w:rPr>
        <w:t>distribution;</w:t>
      </w:r>
      <w:r>
        <w:rPr>
          <w:color w:val="231F20"/>
          <w:spacing w:val="40"/>
          <w:sz w:val="20"/>
        </w:rPr>
        <w:t> </w:t>
      </w:r>
      <w:r>
        <w:rPr>
          <w:color w:val="231F20"/>
          <w:sz w:val="20"/>
        </w:rPr>
        <w:t>import and export trade; road general cargo transportation (operating with qualification certificates); property leasing*** (Business activities subject to approval according</w:t>
      </w:r>
      <w:r>
        <w:rPr>
          <w:color w:val="231F20"/>
          <w:spacing w:val="40"/>
          <w:sz w:val="20"/>
        </w:rPr>
        <w:t> </w:t>
      </w:r>
      <w:r>
        <w:rPr>
          <w:color w:val="231F20"/>
          <w:sz w:val="20"/>
        </w:rPr>
        <w:t>to</w:t>
      </w:r>
      <w:r>
        <w:rPr>
          <w:color w:val="231F20"/>
          <w:spacing w:val="40"/>
          <w:sz w:val="20"/>
        </w:rPr>
        <w:t> </w:t>
      </w:r>
      <w:r>
        <w:rPr>
          <w:color w:val="231F20"/>
          <w:sz w:val="20"/>
        </w:rPr>
        <w:t>law</w:t>
      </w:r>
      <w:r>
        <w:rPr>
          <w:color w:val="231F20"/>
          <w:spacing w:val="40"/>
          <w:sz w:val="20"/>
        </w:rPr>
        <w:t> </w:t>
      </w:r>
      <w:r>
        <w:rPr>
          <w:color w:val="231F20"/>
          <w:sz w:val="20"/>
        </w:rPr>
        <w:t>may</w:t>
      </w:r>
      <w:r>
        <w:rPr>
          <w:color w:val="231F20"/>
          <w:spacing w:val="40"/>
          <w:sz w:val="20"/>
        </w:rPr>
        <w:t> </w:t>
      </w:r>
      <w:r>
        <w:rPr>
          <w:color w:val="231F20"/>
          <w:sz w:val="20"/>
        </w:rPr>
        <w:t>be</w:t>
      </w:r>
      <w:r>
        <w:rPr>
          <w:color w:val="231F20"/>
          <w:spacing w:val="40"/>
          <w:sz w:val="20"/>
        </w:rPr>
        <w:t> </w:t>
      </w:r>
      <w:r>
        <w:rPr>
          <w:color w:val="231F20"/>
          <w:sz w:val="20"/>
        </w:rPr>
        <w:t>carried</w:t>
      </w:r>
      <w:r>
        <w:rPr>
          <w:color w:val="231F20"/>
          <w:spacing w:val="40"/>
          <w:sz w:val="20"/>
        </w:rPr>
        <w:t> </w:t>
      </w:r>
      <w:r>
        <w:rPr>
          <w:color w:val="231F20"/>
          <w:sz w:val="20"/>
        </w:rPr>
        <w:t>out</w:t>
      </w:r>
      <w:r>
        <w:rPr>
          <w:color w:val="231F20"/>
          <w:spacing w:val="40"/>
          <w:sz w:val="20"/>
        </w:rPr>
        <w:t> </w:t>
      </w:r>
      <w:r>
        <w:rPr>
          <w:color w:val="231F20"/>
          <w:sz w:val="20"/>
        </w:rPr>
        <w:t>only</w:t>
      </w:r>
      <w:r>
        <w:rPr>
          <w:color w:val="231F20"/>
          <w:spacing w:val="40"/>
          <w:sz w:val="20"/>
        </w:rPr>
        <w:t> </w:t>
      </w:r>
      <w:r>
        <w:rPr>
          <w:color w:val="231F20"/>
          <w:sz w:val="20"/>
        </w:rPr>
        <w:t>after</w:t>
      </w:r>
      <w:r>
        <w:rPr>
          <w:color w:val="231F20"/>
          <w:spacing w:val="40"/>
          <w:sz w:val="20"/>
        </w:rPr>
        <w:t> </w:t>
      </w:r>
      <w:r>
        <w:rPr>
          <w:color w:val="231F20"/>
          <w:sz w:val="20"/>
        </w:rPr>
        <w:t>approval</w:t>
      </w:r>
      <w:r>
        <w:rPr>
          <w:color w:val="231F20"/>
          <w:spacing w:val="40"/>
          <w:sz w:val="20"/>
        </w:rPr>
        <w:t> </w:t>
      </w:r>
      <w:r>
        <w:rPr>
          <w:color w:val="231F20"/>
          <w:sz w:val="20"/>
        </w:rPr>
        <w:t>by</w:t>
      </w:r>
      <w:r>
        <w:rPr>
          <w:color w:val="231F20"/>
          <w:spacing w:val="40"/>
          <w:sz w:val="20"/>
        </w:rPr>
        <w:t> </w:t>
      </w:r>
      <w:r>
        <w:rPr>
          <w:color w:val="231F20"/>
          <w:sz w:val="20"/>
        </w:rPr>
        <w:t>relevant</w:t>
      </w:r>
      <w:r>
        <w:rPr>
          <w:color w:val="231F20"/>
          <w:spacing w:val="40"/>
          <w:sz w:val="20"/>
        </w:rPr>
        <w:t> </w:t>
      </w:r>
      <w:r>
        <w:rPr>
          <w:color w:val="231F20"/>
          <w:sz w:val="20"/>
        </w:rPr>
        <w:t>departments)</w:t>
      </w:r>
    </w:p>
    <w:p>
      <w:pPr>
        <w:pStyle w:val="ListParagraph"/>
        <w:spacing w:after="0" w:line="292" w:lineRule="auto"/>
        <w:jc w:val="both"/>
        <w:rPr>
          <w:sz w:val="20"/>
        </w:rPr>
        <w:sectPr>
          <w:pgSz w:w="11910" w:h="15880"/>
          <w:pgMar w:header="567" w:footer="573" w:top="1300" w:bottom="760" w:left="1275" w:right="1275"/>
        </w:sectPr>
      </w:pPr>
    </w:p>
    <w:p>
      <w:pPr>
        <w:pStyle w:val="BodyText"/>
        <w:spacing w:before="144"/>
      </w:pPr>
    </w:p>
    <w:p>
      <w:pPr>
        <w:pStyle w:val="ListParagraph"/>
        <w:numPr>
          <w:ilvl w:val="1"/>
          <w:numId w:val="8"/>
        </w:numPr>
        <w:tabs>
          <w:tab w:pos="2410" w:val="left" w:leader="none"/>
        </w:tabs>
        <w:spacing w:line="292" w:lineRule="auto" w:before="1" w:after="0"/>
        <w:ind w:left="2410" w:right="135" w:hanging="567"/>
        <w:jc w:val="left"/>
        <w:rPr>
          <w:sz w:val="20"/>
        </w:rPr>
      </w:pPr>
      <w:r>
        <w:rPr>
          <w:color w:val="231F20"/>
          <w:sz w:val="20"/>
        </w:rPr>
        <w:t>Related</w:t>
      </w:r>
      <w:r>
        <w:rPr>
          <w:color w:val="231F20"/>
          <w:spacing w:val="40"/>
          <w:sz w:val="20"/>
        </w:rPr>
        <w:t> </w:t>
      </w:r>
      <w:r>
        <w:rPr>
          <w:color w:val="231F20"/>
          <w:sz w:val="20"/>
        </w:rPr>
        <w:t>party</w:t>
      </w:r>
      <w:r>
        <w:rPr>
          <w:color w:val="231F20"/>
          <w:spacing w:val="40"/>
          <w:sz w:val="20"/>
        </w:rPr>
        <w:t> </w:t>
      </w:r>
      <w:r>
        <w:rPr>
          <w:color w:val="231F20"/>
          <w:sz w:val="20"/>
        </w:rPr>
        <w:t>relationship</w:t>
      </w:r>
      <w:r>
        <w:rPr>
          <w:color w:val="231F20"/>
          <w:spacing w:val="40"/>
          <w:sz w:val="20"/>
        </w:rPr>
        <w:t> </w:t>
      </w:r>
      <w:r>
        <w:rPr>
          <w:color w:val="231F20"/>
          <w:sz w:val="20"/>
        </w:rPr>
        <w:t>or</w:t>
      </w:r>
      <w:r>
        <w:rPr>
          <w:color w:val="231F20"/>
          <w:spacing w:val="40"/>
          <w:sz w:val="20"/>
        </w:rPr>
        <w:t> </w:t>
      </w:r>
      <w:r>
        <w:rPr>
          <w:color w:val="231F20"/>
          <w:sz w:val="20"/>
        </w:rPr>
        <w:t>business</w:t>
      </w:r>
      <w:r>
        <w:rPr>
          <w:color w:val="231F20"/>
          <w:spacing w:val="40"/>
          <w:sz w:val="20"/>
        </w:rPr>
        <w:t> </w:t>
      </w:r>
      <w:r>
        <w:rPr>
          <w:color w:val="231F20"/>
          <w:sz w:val="20"/>
        </w:rPr>
        <w:t>association</w:t>
      </w:r>
      <w:r>
        <w:rPr>
          <w:color w:val="231F20"/>
          <w:spacing w:val="40"/>
          <w:sz w:val="20"/>
        </w:rPr>
        <w:t> </w:t>
      </w:r>
      <w:r>
        <w:rPr>
          <w:color w:val="231F20"/>
          <w:sz w:val="20"/>
        </w:rPr>
        <w:t>with</w:t>
      </w:r>
      <w:r>
        <w:rPr>
          <w:color w:val="231F20"/>
          <w:spacing w:val="40"/>
          <w:sz w:val="20"/>
        </w:rPr>
        <w:t> </w:t>
      </w:r>
      <w:r>
        <w:rPr>
          <w:color w:val="231F20"/>
          <w:sz w:val="20"/>
        </w:rPr>
        <w:t>the</w:t>
      </w:r>
      <w:r>
        <w:rPr>
          <w:color w:val="231F20"/>
          <w:spacing w:val="40"/>
          <w:sz w:val="20"/>
        </w:rPr>
        <w:t> </w:t>
      </w:r>
      <w:r>
        <w:rPr>
          <w:color w:val="231F20"/>
          <w:sz w:val="20"/>
        </w:rPr>
        <w:t>Company:</w:t>
      </w:r>
      <w:r>
        <w:rPr>
          <w:color w:val="231F20"/>
          <w:spacing w:val="40"/>
          <w:sz w:val="20"/>
        </w:rPr>
        <w:t> </w:t>
      </w:r>
      <w:r>
        <w:rPr>
          <w:color w:val="231F20"/>
          <w:sz w:val="20"/>
        </w:rPr>
        <w:t>a</w:t>
      </w:r>
      <w:r>
        <w:rPr>
          <w:color w:val="231F20"/>
          <w:spacing w:val="40"/>
          <w:sz w:val="20"/>
        </w:rPr>
        <w:t> </w:t>
      </w:r>
      <w:r>
        <w:rPr>
          <w:color w:val="231F20"/>
          <w:sz w:val="20"/>
        </w:rPr>
        <w:t>wholly- owned subsidiary of the Company</w:t>
      </w:r>
    </w:p>
    <w:p>
      <w:pPr>
        <w:pStyle w:val="BodyText"/>
        <w:spacing w:before="48"/>
      </w:pPr>
    </w:p>
    <w:p>
      <w:pPr>
        <w:pStyle w:val="ListParagraph"/>
        <w:numPr>
          <w:ilvl w:val="1"/>
          <w:numId w:val="8"/>
        </w:numPr>
        <w:tabs>
          <w:tab w:pos="2409" w:val="left" w:leader="none"/>
        </w:tabs>
        <w:spacing w:line="240" w:lineRule="auto" w:before="1" w:after="0"/>
        <w:ind w:left="2409" w:right="0" w:hanging="566"/>
        <w:jc w:val="left"/>
        <w:rPr>
          <w:sz w:val="20"/>
        </w:rPr>
      </w:pPr>
      <w:r>
        <w:rPr>
          <w:color w:val="231F20"/>
          <w:sz w:val="20"/>
        </w:rPr>
        <w:t>Key</w:t>
      </w:r>
      <w:r>
        <w:rPr>
          <w:color w:val="231F20"/>
          <w:spacing w:val="29"/>
          <w:sz w:val="20"/>
        </w:rPr>
        <w:t> </w:t>
      </w:r>
      <w:r>
        <w:rPr>
          <w:color w:val="231F20"/>
          <w:sz w:val="20"/>
        </w:rPr>
        <w:t>financial</w:t>
      </w:r>
      <w:r>
        <w:rPr>
          <w:color w:val="231F20"/>
          <w:spacing w:val="30"/>
          <w:sz w:val="20"/>
        </w:rPr>
        <w:t> </w:t>
      </w:r>
      <w:r>
        <w:rPr>
          <w:color w:val="231F20"/>
          <w:sz w:val="20"/>
        </w:rPr>
        <w:t>data</w:t>
      </w:r>
      <w:r>
        <w:rPr>
          <w:color w:val="231F20"/>
          <w:spacing w:val="30"/>
          <w:sz w:val="20"/>
        </w:rPr>
        <w:t> </w:t>
      </w:r>
      <w:r>
        <w:rPr>
          <w:color w:val="231F20"/>
          <w:sz w:val="20"/>
        </w:rPr>
        <w:t>for</w:t>
      </w:r>
      <w:r>
        <w:rPr>
          <w:color w:val="231F20"/>
          <w:spacing w:val="29"/>
          <w:sz w:val="20"/>
        </w:rPr>
        <w:t> </w:t>
      </w:r>
      <w:r>
        <w:rPr>
          <w:color w:val="231F20"/>
          <w:sz w:val="20"/>
        </w:rPr>
        <w:t>the</w:t>
      </w:r>
      <w:r>
        <w:rPr>
          <w:color w:val="231F20"/>
          <w:spacing w:val="30"/>
          <w:sz w:val="20"/>
        </w:rPr>
        <w:t> </w:t>
      </w:r>
      <w:r>
        <w:rPr>
          <w:color w:val="231F20"/>
          <w:sz w:val="20"/>
        </w:rPr>
        <w:t>latest</w:t>
      </w:r>
      <w:r>
        <w:rPr>
          <w:color w:val="231F20"/>
          <w:spacing w:val="30"/>
          <w:sz w:val="20"/>
        </w:rPr>
        <w:t> </w:t>
      </w:r>
      <w:r>
        <w:rPr>
          <w:color w:val="231F20"/>
          <w:sz w:val="20"/>
        </w:rPr>
        <w:t>financial</w:t>
      </w:r>
      <w:r>
        <w:rPr>
          <w:color w:val="231F20"/>
          <w:spacing w:val="29"/>
          <w:sz w:val="20"/>
        </w:rPr>
        <w:t> </w:t>
      </w:r>
      <w:r>
        <w:rPr>
          <w:color w:val="231F20"/>
          <w:sz w:val="20"/>
        </w:rPr>
        <w:t>year</w:t>
      </w:r>
      <w:r>
        <w:rPr>
          <w:color w:val="231F20"/>
          <w:spacing w:val="30"/>
          <w:sz w:val="20"/>
        </w:rPr>
        <w:t> </w:t>
      </w:r>
      <w:r>
        <w:rPr>
          <w:color w:val="231F20"/>
          <w:sz w:val="20"/>
        </w:rPr>
        <w:t>and</w:t>
      </w:r>
      <w:r>
        <w:rPr>
          <w:color w:val="231F20"/>
          <w:spacing w:val="30"/>
          <w:sz w:val="20"/>
        </w:rPr>
        <w:t> </w:t>
      </w:r>
      <w:r>
        <w:rPr>
          <w:color w:val="231F20"/>
          <w:sz w:val="20"/>
        </w:rPr>
        <w:t>the</w:t>
      </w:r>
      <w:r>
        <w:rPr>
          <w:color w:val="231F20"/>
          <w:spacing w:val="29"/>
          <w:sz w:val="20"/>
        </w:rPr>
        <w:t> </w:t>
      </w:r>
      <w:r>
        <w:rPr>
          <w:color w:val="231F20"/>
          <w:sz w:val="20"/>
        </w:rPr>
        <w:t>subsequent</w:t>
      </w:r>
      <w:r>
        <w:rPr>
          <w:color w:val="231F20"/>
          <w:spacing w:val="30"/>
          <w:sz w:val="20"/>
        </w:rPr>
        <w:t> </w:t>
      </w:r>
      <w:r>
        <w:rPr>
          <w:color w:val="231F20"/>
          <w:sz w:val="20"/>
        </w:rPr>
        <w:t>interim</w:t>
      </w:r>
      <w:r>
        <w:rPr>
          <w:color w:val="231F20"/>
          <w:spacing w:val="30"/>
          <w:sz w:val="20"/>
        </w:rPr>
        <w:t> </w:t>
      </w:r>
      <w:r>
        <w:rPr>
          <w:color w:val="231F20"/>
          <w:spacing w:val="-2"/>
          <w:sz w:val="20"/>
        </w:rPr>
        <w:t>period</w:t>
      </w:r>
    </w:p>
    <w:p>
      <w:pPr>
        <w:pStyle w:val="BodyText"/>
        <w:spacing w:before="98"/>
      </w:pPr>
    </w:p>
    <w:tbl>
      <w:tblPr>
        <w:tblW w:w="0" w:type="auto"/>
        <w:jc w:val="left"/>
        <w:tblInd w:w="1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3"/>
        <w:gridCol w:w="3738"/>
        <w:gridCol w:w="1732"/>
        <w:gridCol w:w="1657"/>
      </w:tblGrid>
      <w:tr>
        <w:trPr>
          <w:trHeight w:val="255" w:hRule="atLeast"/>
        </w:trPr>
        <w:tc>
          <w:tcPr>
            <w:tcW w:w="4151" w:type="dxa"/>
            <w:gridSpan w:val="2"/>
            <w:vMerge w:val="restart"/>
          </w:tcPr>
          <w:p>
            <w:pPr>
              <w:pStyle w:val="TableParagraph"/>
              <w:spacing w:before="0"/>
              <w:rPr>
                <w:sz w:val="20"/>
              </w:rPr>
            </w:pPr>
          </w:p>
        </w:tc>
        <w:tc>
          <w:tcPr>
            <w:tcW w:w="1732" w:type="dxa"/>
          </w:tcPr>
          <w:p>
            <w:pPr>
              <w:pStyle w:val="TableParagraph"/>
              <w:spacing w:before="0"/>
              <w:rPr>
                <w:sz w:val="18"/>
              </w:rPr>
            </w:pPr>
          </w:p>
        </w:tc>
        <w:tc>
          <w:tcPr>
            <w:tcW w:w="1657" w:type="dxa"/>
          </w:tcPr>
          <w:p>
            <w:pPr>
              <w:pStyle w:val="TableParagraph"/>
              <w:spacing w:before="1"/>
              <w:ind w:right="112"/>
              <w:jc w:val="right"/>
              <w:rPr>
                <w:b/>
                <w:sz w:val="20"/>
              </w:rPr>
            </w:pPr>
            <w:r>
              <w:rPr>
                <w:b/>
                <w:color w:val="231F20"/>
                <w:sz w:val="20"/>
              </w:rPr>
              <w:t>As</w:t>
            </w:r>
            <w:r>
              <w:rPr>
                <w:b/>
                <w:color w:val="231F20"/>
                <w:spacing w:val="12"/>
                <w:sz w:val="20"/>
              </w:rPr>
              <w:t> </w:t>
            </w:r>
            <w:r>
              <w:rPr>
                <w:b/>
                <w:color w:val="231F20"/>
                <w:spacing w:val="-5"/>
                <w:sz w:val="20"/>
              </w:rPr>
              <w:t>at</w:t>
            </w:r>
          </w:p>
        </w:tc>
      </w:tr>
      <w:tr>
        <w:trPr>
          <w:trHeight w:val="280" w:hRule="atLeast"/>
        </w:trPr>
        <w:tc>
          <w:tcPr>
            <w:tcW w:w="4151" w:type="dxa"/>
            <w:gridSpan w:val="2"/>
            <w:vMerge/>
            <w:tcBorders>
              <w:top w:val="nil"/>
            </w:tcBorders>
          </w:tcPr>
          <w:p>
            <w:pPr>
              <w:rPr>
                <w:sz w:val="2"/>
                <w:szCs w:val="2"/>
              </w:rPr>
            </w:pPr>
          </w:p>
        </w:tc>
        <w:tc>
          <w:tcPr>
            <w:tcW w:w="1732" w:type="dxa"/>
          </w:tcPr>
          <w:p>
            <w:pPr>
              <w:pStyle w:val="TableParagraph"/>
              <w:spacing w:before="25"/>
              <w:ind w:right="156"/>
              <w:jc w:val="right"/>
              <w:rPr>
                <w:b/>
                <w:sz w:val="20"/>
              </w:rPr>
            </w:pPr>
            <w:r>
              <w:rPr>
                <w:b/>
                <w:color w:val="231F20"/>
                <w:sz w:val="20"/>
              </w:rPr>
              <w:t>As</w:t>
            </w:r>
            <w:r>
              <w:rPr>
                <w:b/>
                <w:color w:val="231F20"/>
                <w:spacing w:val="12"/>
                <w:sz w:val="20"/>
              </w:rPr>
              <w:t> </w:t>
            </w:r>
            <w:r>
              <w:rPr>
                <w:b/>
                <w:color w:val="231F20"/>
                <w:spacing w:val="-5"/>
                <w:sz w:val="20"/>
              </w:rPr>
              <w:t>at</w:t>
            </w:r>
          </w:p>
        </w:tc>
        <w:tc>
          <w:tcPr>
            <w:tcW w:w="1657" w:type="dxa"/>
          </w:tcPr>
          <w:p>
            <w:pPr>
              <w:pStyle w:val="TableParagraph"/>
              <w:spacing w:before="25"/>
              <w:ind w:right="112"/>
              <w:jc w:val="right"/>
              <w:rPr>
                <w:b/>
                <w:sz w:val="20"/>
              </w:rPr>
            </w:pPr>
            <w:r>
              <w:rPr>
                <w:b/>
                <w:color w:val="231F20"/>
                <w:sz w:val="20"/>
              </w:rPr>
              <w:t>December</w:t>
            </w:r>
            <w:r>
              <w:rPr>
                <w:b/>
                <w:color w:val="231F20"/>
                <w:spacing w:val="45"/>
                <w:sz w:val="20"/>
              </w:rPr>
              <w:t> </w:t>
            </w:r>
            <w:r>
              <w:rPr>
                <w:b/>
                <w:color w:val="231F20"/>
                <w:spacing w:val="-5"/>
                <w:sz w:val="20"/>
              </w:rPr>
              <w:t>31,</w:t>
            </w:r>
          </w:p>
        </w:tc>
      </w:tr>
      <w:tr>
        <w:trPr>
          <w:trHeight w:val="280" w:hRule="atLeast"/>
        </w:trPr>
        <w:tc>
          <w:tcPr>
            <w:tcW w:w="4151" w:type="dxa"/>
            <w:gridSpan w:val="2"/>
            <w:vMerge/>
            <w:tcBorders>
              <w:top w:val="nil"/>
            </w:tcBorders>
          </w:tcPr>
          <w:p>
            <w:pPr>
              <w:rPr>
                <w:sz w:val="2"/>
                <w:szCs w:val="2"/>
              </w:rPr>
            </w:pPr>
          </w:p>
        </w:tc>
        <w:tc>
          <w:tcPr>
            <w:tcW w:w="1732" w:type="dxa"/>
          </w:tcPr>
          <w:p>
            <w:pPr>
              <w:pStyle w:val="TableParagraph"/>
              <w:spacing w:before="25"/>
              <w:ind w:right="156"/>
              <w:jc w:val="right"/>
              <w:rPr>
                <w:b/>
                <w:sz w:val="20"/>
              </w:rPr>
            </w:pPr>
            <w:r>
              <w:rPr>
                <w:b/>
                <w:color w:val="231F20"/>
                <w:sz w:val="20"/>
              </w:rPr>
              <w:t>June</w:t>
            </w:r>
            <w:r>
              <w:rPr>
                <w:b/>
                <w:color w:val="231F20"/>
                <w:spacing w:val="18"/>
                <w:sz w:val="20"/>
              </w:rPr>
              <w:t> </w:t>
            </w:r>
            <w:r>
              <w:rPr>
                <w:b/>
                <w:color w:val="231F20"/>
                <w:sz w:val="20"/>
              </w:rPr>
              <w:t>30,</w:t>
            </w:r>
            <w:r>
              <w:rPr>
                <w:b/>
                <w:color w:val="231F20"/>
                <w:spacing w:val="19"/>
                <w:sz w:val="20"/>
              </w:rPr>
              <w:t> </w:t>
            </w:r>
            <w:r>
              <w:rPr>
                <w:b/>
                <w:color w:val="231F20"/>
                <w:spacing w:val="-2"/>
                <w:sz w:val="20"/>
              </w:rPr>
              <w:t>2025/</w:t>
            </w:r>
          </w:p>
        </w:tc>
        <w:tc>
          <w:tcPr>
            <w:tcW w:w="1657" w:type="dxa"/>
          </w:tcPr>
          <w:p>
            <w:pPr>
              <w:pStyle w:val="TableParagraph"/>
              <w:spacing w:before="25"/>
              <w:ind w:right="112"/>
              <w:jc w:val="right"/>
              <w:rPr>
                <w:b/>
                <w:sz w:val="20"/>
              </w:rPr>
            </w:pPr>
            <w:r>
              <w:rPr>
                <w:b/>
                <w:color w:val="231F20"/>
                <w:sz w:val="20"/>
              </w:rPr>
              <w:t>2024/For</w:t>
            </w:r>
            <w:r>
              <w:rPr>
                <w:b/>
                <w:color w:val="231F20"/>
                <w:spacing w:val="43"/>
                <w:sz w:val="20"/>
              </w:rPr>
              <w:t> </w:t>
            </w:r>
            <w:r>
              <w:rPr>
                <w:b/>
                <w:color w:val="231F20"/>
                <w:spacing w:val="-2"/>
                <w:sz w:val="20"/>
              </w:rPr>
              <w:t>period</w:t>
            </w:r>
          </w:p>
        </w:tc>
      </w:tr>
      <w:tr>
        <w:trPr>
          <w:trHeight w:val="280" w:hRule="atLeast"/>
        </w:trPr>
        <w:tc>
          <w:tcPr>
            <w:tcW w:w="4151" w:type="dxa"/>
            <w:gridSpan w:val="2"/>
            <w:vMerge/>
            <w:tcBorders>
              <w:top w:val="nil"/>
            </w:tcBorders>
          </w:tcPr>
          <w:p>
            <w:pPr>
              <w:rPr>
                <w:sz w:val="2"/>
                <w:szCs w:val="2"/>
              </w:rPr>
            </w:pPr>
          </w:p>
        </w:tc>
        <w:tc>
          <w:tcPr>
            <w:tcW w:w="1732" w:type="dxa"/>
          </w:tcPr>
          <w:p>
            <w:pPr>
              <w:pStyle w:val="TableParagraph"/>
              <w:spacing w:before="25"/>
              <w:ind w:right="156"/>
              <w:jc w:val="right"/>
              <w:rPr>
                <w:b/>
                <w:sz w:val="20"/>
              </w:rPr>
            </w:pPr>
            <w:r>
              <w:rPr>
                <w:b/>
                <w:color w:val="231F20"/>
                <w:sz w:val="20"/>
              </w:rPr>
              <w:t>For</w:t>
            </w:r>
            <w:r>
              <w:rPr>
                <w:b/>
                <w:color w:val="231F20"/>
                <w:spacing w:val="20"/>
                <w:sz w:val="20"/>
              </w:rPr>
              <w:t> </w:t>
            </w:r>
            <w:r>
              <w:rPr>
                <w:b/>
                <w:color w:val="231F20"/>
                <w:sz w:val="20"/>
              </w:rPr>
              <w:t>the</w:t>
            </w:r>
            <w:r>
              <w:rPr>
                <w:b/>
                <w:color w:val="231F20"/>
                <w:spacing w:val="20"/>
                <w:sz w:val="20"/>
              </w:rPr>
              <w:t> </w:t>
            </w:r>
            <w:r>
              <w:rPr>
                <w:b/>
                <w:color w:val="231F20"/>
                <w:spacing w:val="-2"/>
                <w:sz w:val="20"/>
              </w:rPr>
              <w:t>period</w:t>
            </w:r>
          </w:p>
        </w:tc>
        <w:tc>
          <w:tcPr>
            <w:tcW w:w="1657" w:type="dxa"/>
          </w:tcPr>
          <w:p>
            <w:pPr>
              <w:pStyle w:val="TableParagraph"/>
              <w:spacing w:before="25"/>
              <w:ind w:right="112"/>
              <w:jc w:val="right"/>
              <w:rPr>
                <w:b/>
                <w:sz w:val="20"/>
              </w:rPr>
            </w:pPr>
            <w:r>
              <w:rPr>
                <w:b/>
                <w:color w:val="231F20"/>
                <w:sz w:val="20"/>
              </w:rPr>
              <w:t>from</w:t>
            </w:r>
            <w:r>
              <w:rPr>
                <w:b/>
                <w:color w:val="231F20"/>
                <w:spacing w:val="25"/>
                <w:sz w:val="20"/>
              </w:rPr>
              <w:t> </w:t>
            </w:r>
            <w:r>
              <w:rPr>
                <w:b/>
                <w:color w:val="231F20"/>
                <w:spacing w:val="-2"/>
                <w:sz w:val="20"/>
              </w:rPr>
              <w:t>January</w:t>
            </w:r>
          </w:p>
        </w:tc>
      </w:tr>
      <w:tr>
        <w:trPr>
          <w:trHeight w:val="280" w:hRule="atLeast"/>
        </w:trPr>
        <w:tc>
          <w:tcPr>
            <w:tcW w:w="4151" w:type="dxa"/>
            <w:gridSpan w:val="2"/>
            <w:vMerge/>
            <w:tcBorders>
              <w:top w:val="nil"/>
            </w:tcBorders>
          </w:tcPr>
          <w:p>
            <w:pPr>
              <w:rPr>
                <w:sz w:val="2"/>
                <w:szCs w:val="2"/>
              </w:rPr>
            </w:pPr>
          </w:p>
        </w:tc>
        <w:tc>
          <w:tcPr>
            <w:tcW w:w="1732" w:type="dxa"/>
          </w:tcPr>
          <w:p>
            <w:pPr>
              <w:pStyle w:val="TableParagraph"/>
              <w:spacing w:before="25"/>
              <w:ind w:right="156"/>
              <w:jc w:val="right"/>
              <w:rPr>
                <w:b/>
                <w:sz w:val="20"/>
              </w:rPr>
            </w:pPr>
            <w:r>
              <w:rPr>
                <w:b/>
                <w:color w:val="231F20"/>
                <w:sz w:val="20"/>
              </w:rPr>
              <w:t>from</w:t>
            </w:r>
            <w:r>
              <w:rPr>
                <w:b/>
                <w:color w:val="231F20"/>
                <w:spacing w:val="25"/>
                <w:sz w:val="20"/>
              </w:rPr>
              <w:t> </w:t>
            </w:r>
            <w:r>
              <w:rPr>
                <w:b/>
                <w:color w:val="231F20"/>
                <w:spacing w:val="-2"/>
                <w:sz w:val="20"/>
              </w:rPr>
              <w:t>January</w:t>
            </w:r>
          </w:p>
        </w:tc>
        <w:tc>
          <w:tcPr>
            <w:tcW w:w="1657" w:type="dxa"/>
          </w:tcPr>
          <w:p>
            <w:pPr>
              <w:pStyle w:val="TableParagraph"/>
              <w:spacing w:before="25"/>
              <w:ind w:right="112"/>
              <w:jc w:val="right"/>
              <w:rPr>
                <w:b/>
                <w:sz w:val="20"/>
              </w:rPr>
            </w:pPr>
            <w:r>
              <w:rPr>
                <w:b/>
                <w:color w:val="231F20"/>
                <w:sz w:val="20"/>
              </w:rPr>
              <w:t>to</w:t>
            </w:r>
            <w:r>
              <w:rPr>
                <w:b/>
                <w:color w:val="231F20"/>
                <w:spacing w:val="12"/>
                <w:sz w:val="20"/>
              </w:rPr>
              <w:t> </w:t>
            </w:r>
            <w:r>
              <w:rPr>
                <w:b/>
                <w:color w:val="231F20"/>
                <w:spacing w:val="-2"/>
                <w:sz w:val="20"/>
              </w:rPr>
              <w:t>December</w:t>
            </w:r>
          </w:p>
        </w:tc>
      </w:tr>
      <w:tr>
        <w:trPr>
          <w:trHeight w:val="280" w:hRule="atLeast"/>
        </w:trPr>
        <w:tc>
          <w:tcPr>
            <w:tcW w:w="4151" w:type="dxa"/>
            <w:gridSpan w:val="2"/>
            <w:vMerge/>
            <w:tcBorders>
              <w:top w:val="nil"/>
            </w:tcBorders>
          </w:tcPr>
          <w:p>
            <w:pPr>
              <w:rPr>
                <w:sz w:val="2"/>
                <w:szCs w:val="2"/>
              </w:rPr>
            </w:pPr>
          </w:p>
        </w:tc>
        <w:tc>
          <w:tcPr>
            <w:tcW w:w="1732" w:type="dxa"/>
          </w:tcPr>
          <w:p>
            <w:pPr>
              <w:pStyle w:val="TableParagraph"/>
              <w:spacing w:before="25"/>
              <w:ind w:right="156"/>
              <w:jc w:val="right"/>
              <w:rPr>
                <w:b/>
                <w:sz w:val="20"/>
              </w:rPr>
            </w:pPr>
            <w:r>
              <w:rPr>
                <w:b/>
                <w:color w:val="231F20"/>
                <w:sz w:val="20"/>
              </w:rPr>
              <w:t>to</w:t>
            </w:r>
            <w:r>
              <w:rPr>
                <w:b/>
                <w:color w:val="231F20"/>
                <w:spacing w:val="16"/>
                <w:sz w:val="20"/>
              </w:rPr>
              <w:t> </w:t>
            </w:r>
            <w:r>
              <w:rPr>
                <w:b/>
                <w:color w:val="231F20"/>
                <w:sz w:val="20"/>
              </w:rPr>
              <w:t>June</w:t>
            </w:r>
            <w:r>
              <w:rPr>
                <w:b/>
                <w:color w:val="231F20"/>
                <w:spacing w:val="17"/>
                <w:sz w:val="20"/>
              </w:rPr>
              <w:t> </w:t>
            </w:r>
            <w:r>
              <w:rPr>
                <w:b/>
                <w:color w:val="231F20"/>
                <w:spacing w:val="-4"/>
                <w:sz w:val="20"/>
              </w:rPr>
              <w:t>2025</w:t>
            </w:r>
          </w:p>
        </w:tc>
        <w:tc>
          <w:tcPr>
            <w:tcW w:w="1657" w:type="dxa"/>
          </w:tcPr>
          <w:p>
            <w:pPr>
              <w:pStyle w:val="TableParagraph"/>
              <w:spacing w:before="25"/>
              <w:ind w:right="112"/>
              <w:jc w:val="right"/>
              <w:rPr>
                <w:b/>
                <w:sz w:val="20"/>
              </w:rPr>
            </w:pPr>
            <w:r>
              <w:rPr>
                <w:b/>
                <w:color w:val="231F20"/>
                <w:spacing w:val="-4"/>
                <w:sz w:val="20"/>
              </w:rPr>
              <w:t>2024</w:t>
            </w:r>
          </w:p>
        </w:tc>
      </w:tr>
      <w:tr>
        <w:trPr>
          <w:trHeight w:val="704" w:hRule="atLeast"/>
        </w:trPr>
        <w:tc>
          <w:tcPr>
            <w:tcW w:w="413" w:type="dxa"/>
          </w:tcPr>
          <w:p>
            <w:pPr>
              <w:pStyle w:val="TableParagraph"/>
              <w:spacing w:before="0"/>
              <w:rPr>
                <w:sz w:val="20"/>
              </w:rPr>
            </w:pPr>
          </w:p>
        </w:tc>
        <w:tc>
          <w:tcPr>
            <w:tcW w:w="3738" w:type="dxa"/>
          </w:tcPr>
          <w:p>
            <w:pPr>
              <w:pStyle w:val="TableParagraph"/>
              <w:spacing w:before="25"/>
              <w:ind w:left="203"/>
              <w:rPr>
                <w:b/>
                <w:sz w:val="20"/>
              </w:rPr>
            </w:pPr>
            <w:r>
              <w:rPr>
                <w:b/>
                <w:color w:val="231F20"/>
                <w:spacing w:val="-2"/>
                <w:sz w:val="20"/>
              </w:rPr>
              <w:t>Items</w:t>
            </w:r>
          </w:p>
        </w:tc>
        <w:tc>
          <w:tcPr>
            <w:tcW w:w="1732" w:type="dxa"/>
          </w:tcPr>
          <w:p>
            <w:pPr>
              <w:pStyle w:val="TableParagraph"/>
              <w:spacing w:before="25"/>
              <w:ind w:left="551"/>
              <w:rPr>
                <w:b/>
                <w:sz w:val="20"/>
              </w:rPr>
            </w:pPr>
            <w:r>
              <w:rPr>
                <w:b/>
                <w:color w:val="231F20"/>
                <w:spacing w:val="-2"/>
                <w:sz w:val="20"/>
              </w:rPr>
              <w:t>(Unaudited)</w:t>
            </w:r>
          </w:p>
          <w:p>
            <w:pPr>
              <w:pStyle w:val="TableParagraph"/>
              <w:spacing w:before="50"/>
              <w:ind w:left="1014"/>
              <w:rPr>
                <w:b/>
                <w:i/>
                <w:sz w:val="20"/>
              </w:rPr>
            </w:pPr>
            <w:r>
              <w:rPr>
                <w:b/>
                <w:i/>
                <w:color w:val="231F20"/>
                <w:spacing w:val="-2"/>
                <w:w w:val="105"/>
                <w:sz w:val="20"/>
              </w:rPr>
              <w:t>(RMB)</w:t>
            </w:r>
          </w:p>
        </w:tc>
        <w:tc>
          <w:tcPr>
            <w:tcW w:w="1657" w:type="dxa"/>
          </w:tcPr>
          <w:p>
            <w:pPr>
              <w:pStyle w:val="TableParagraph"/>
              <w:spacing w:before="25"/>
              <w:ind w:left="741"/>
              <w:rPr>
                <w:b/>
                <w:sz w:val="20"/>
              </w:rPr>
            </w:pPr>
            <w:r>
              <w:rPr>
                <w:b/>
                <w:color w:val="231F20"/>
                <w:spacing w:val="-2"/>
                <w:sz w:val="20"/>
              </w:rPr>
              <w:t>(Audited)</w:t>
            </w:r>
          </w:p>
          <w:p>
            <w:pPr>
              <w:pStyle w:val="TableParagraph"/>
              <w:spacing w:before="50"/>
              <w:ind w:left="983"/>
              <w:rPr>
                <w:b/>
                <w:i/>
                <w:sz w:val="20"/>
              </w:rPr>
            </w:pPr>
            <w:r>
              <w:rPr>
                <w:b/>
                <w:i/>
                <w:color w:val="231F20"/>
                <w:spacing w:val="-2"/>
                <w:w w:val="105"/>
                <w:sz w:val="20"/>
              </w:rPr>
              <w:t>(RMB)</w:t>
            </w:r>
          </w:p>
        </w:tc>
      </w:tr>
      <w:tr>
        <w:trPr>
          <w:trHeight w:val="419" w:hRule="atLeast"/>
        </w:trPr>
        <w:tc>
          <w:tcPr>
            <w:tcW w:w="413" w:type="dxa"/>
          </w:tcPr>
          <w:p>
            <w:pPr>
              <w:pStyle w:val="TableParagraph"/>
              <w:spacing w:before="0"/>
              <w:rPr>
                <w:sz w:val="20"/>
              </w:rPr>
            </w:pPr>
          </w:p>
        </w:tc>
        <w:tc>
          <w:tcPr>
            <w:tcW w:w="3738" w:type="dxa"/>
          </w:tcPr>
          <w:p>
            <w:pPr>
              <w:pStyle w:val="TableParagraph"/>
              <w:spacing w:before="161"/>
              <w:ind w:left="203"/>
              <w:rPr>
                <w:sz w:val="20"/>
              </w:rPr>
            </w:pPr>
            <w:r>
              <w:rPr>
                <w:color w:val="231F20"/>
                <w:sz w:val="20"/>
              </w:rPr>
              <w:t>Total</w:t>
            </w:r>
            <w:r>
              <w:rPr>
                <w:color w:val="231F20"/>
                <w:spacing w:val="28"/>
                <w:sz w:val="20"/>
              </w:rPr>
              <w:t> </w:t>
            </w:r>
            <w:r>
              <w:rPr>
                <w:color w:val="231F20"/>
                <w:spacing w:val="-2"/>
                <w:sz w:val="20"/>
              </w:rPr>
              <w:t>assets</w:t>
            </w:r>
          </w:p>
        </w:tc>
        <w:tc>
          <w:tcPr>
            <w:tcW w:w="1732" w:type="dxa"/>
          </w:tcPr>
          <w:p>
            <w:pPr>
              <w:pStyle w:val="TableParagraph"/>
              <w:spacing w:before="161"/>
              <w:ind w:right="156"/>
              <w:jc w:val="right"/>
              <w:rPr>
                <w:sz w:val="20"/>
              </w:rPr>
            </w:pPr>
            <w:r>
              <w:rPr>
                <w:color w:val="231F20"/>
                <w:spacing w:val="-2"/>
                <w:sz w:val="20"/>
              </w:rPr>
              <w:t>201,452,115.22</w:t>
            </w:r>
          </w:p>
        </w:tc>
        <w:tc>
          <w:tcPr>
            <w:tcW w:w="1657" w:type="dxa"/>
          </w:tcPr>
          <w:p>
            <w:pPr>
              <w:pStyle w:val="TableParagraph"/>
              <w:spacing w:before="161"/>
              <w:ind w:right="114"/>
              <w:jc w:val="right"/>
              <w:rPr>
                <w:sz w:val="20"/>
              </w:rPr>
            </w:pPr>
            <w:r>
              <w:rPr>
                <w:color w:val="231F20"/>
                <w:spacing w:val="-2"/>
                <w:sz w:val="20"/>
              </w:rPr>
              <w:t>214,607,712.86</w:t>
            </w:r>
          </w:p>
        </w:tc>
      </w:tr>
      <w:tr>
        <w:trPr>
          <w:trHeight w:val="280" w:hRule="atLeast"/>
        </w:trPr>
        <w:tc>
          <w:tcPr>
            <w:tcW w:w="413" w:type="dxa"/>
          </w:tcPr>
          <w:p>
            <w:pPr>
              <w:pStyle w:val="TableParagraph"/>
              <w:spacing w:before="0"/>
              <w:rPr>
                <w:sz w:val="20"/>
              </w:rPr>
            </w:pPr>
          </w:p>
        </w:tc>
        <w:tc>
          <w:tcPr>
            <w:tcW w:w="3738" w:type="dxa"/>
          </w:tcPr>
          <w:p>
            <w:pPr>
              <w:pStyle w:val="TableParagraph"/>
              <w:ind w:left="203"/>
              <w:rPr>
                <w:sz w:val="20"/>
              </w:rPr>
            </w:pPr>
            <w:r>
              <w:rPr>
                <w:color w:val="231F20"/>
                <w:sz w:val="20"/>
              </w:rPr>
              <w:t>Total</w:t>
            </w:r>
            <w:r>
              <w:rPr>
                <w:color w:val="231F20"/>
                <w:spacing w:val="30"/>
                <w:sz w:val="20"/>
              </w:rPr>
              <w:t> </w:t>
            </w:r>
            <w:r>
              <w:rPr>
                <w:color w:val="231F20"/>
                <w:spacing w:val="-2"/>
                <w:sz w:val="20"/>
              </w:rPr>
              <w:t>liabilities</w:t>
            </w:r>
          </w:p>
        </w:tc>
        <w:tc>
          <w:tcPr>
            <w:tcW w:w="1732" w:type="dxa"/>
          </w:tcPr>
          <w:p>
            <w:pPr>
              <w:pStyle w:val="TableParagraph"/>
              <w:ind w:right="156"/>
              <w:jc w:val="right"/>
              <w:rPr>
                <w:sz w:val="20"/>
              </w:rPr>
            </w:pPr>
            <w:r>
              <w:rPr>
                <w:color w:val="231F20"/>
                <w:spacing w:val="-2"/>
                <w:sz w:val="20"/>
              </w:rPr>
              <w:t>31,398,924.03</w:t>
            </w:r>
          </w:p>
        </w:tc>
        <w:tc>
          <w:tcPr>
            <w:tcW w:w="1657" w:type="dxa"/>
          </w:tcPr>
          <w:p>
            <w:pPr>
              <w:pStyle w:val="TableParagraph"/>
              <w:ind w:right="114"/>
              <w:jc w:val="right"/>
              <w:rPr>
                <w:sz w:val="20"/>
              </w:rPr>
            </w:pPr>
            <w:r>
              <w:rPr>
                <w:color w:val="231F20"/>
                <w:spacing w:val="-2"/>
                <w:sz w:val="20"/>
              </w:rPr>
              <w:t>55,855,204.74</w:t>
            </w:r>
          </w:p>
        </w:tc>
      </w:tr>
      <w:tr>
        <w:trPr>
          <w:trHeight w:val="280" w:hRule="atLeast"/>
        </w:trPr>
        <w:tc>
          <w:tcPr>
            <w:tcW w:w="413" w:type="dxa"/>
          </w:tcPr>
          <w:p>
            <w:pPr>
              <w:pStyle w:val="TableParagraph"/>
              <w:spacing w:before="0"/>
              <w:rPr>
                <w:sz w:val="20"/>
              </w:rPr>
            </w:pPr>
          </w:p>
        </w:tc>
        <w:tc>
          <w:tcPr>
            <w:tcW w:w="3738" w:type="dxa"/>
          </w:tcPr>
          <w:p>
            <w:pPr>
              <w:pStyle w:val="TableParagraph"/>
              <w:ind w:left="203"/>
              <w:rPr>
                <w:sz w:val="20"/>
              </w:rPr>
            </w:pPr>
            <w:r>
              <w:rPr>
                <w:color w:val="231F20"/>
                <w:sz w:val="20"/>
              </w:rPr>
              <w:t>Net</w:t>
            </w:r>
            <w:r>
              <w:rPr>
                <w:color w:val="231F20"/>
                <w:spacing w:val="18"/>
                <w:sz w:val="20"/>
              </w:rPr>
              <w:t> </w:t>
            </w:r>
            <w:r>
              <w:rPr>
                <w:color w:val="231F20"/>
                <w:spacing w:val="-2"/>
                <w:sz w:val="20"/>
              </w:rPr>
              <w:t>assets</w:t>
            </w:r>
          </w:p>
        </w:tc>
        <w:tc>
          <w:tcPr>
            <w:tcW w:w="1732" w:type="dxa"/>
          </w:tcPr>
          <w:p>
            <w:pPr>
              <w:pStyle w:val="TableParagraph"/>
              <w:ind w:right="156"/>
              <w:jc w:val="right"/>
              <w:rPr>
                <w:sz w:val="20"/>
              </w:rPr>
            </w:pPr>
            <w:r>
              <w:rPr>
                <w:color w:val="231F20"/>
                <w:spacing w:val="-2"/>
                <w:sz w:val="20"/>
              </w:rPr>
              <w:t>170,053,191.19</w:t>
            </w:r>
          </w:p>
        </w:tc>
        <w:tc>
          <w:tcPr>
            <w:tcW w:w="1657" w:type="dxa"/>
          </w:tcPr>
          <w:p>
            <w:pPr>
              <w:pStyle w:val="TableParagraph"/>
              <w:ind w:right="114"/>
              <w:jc w:val="right"/>
              <w:rPr>
                <w:sz w:val="20"/>
              </w:rPr>
            </w:pPr>
            <w:r>
              <w:rPr>
                <w:color w:val="231F20"/>
                <w:spacing w:val="-2"/>
                <w:sz w:val="20"/>
              </w:rPr>
              <w:t>158,752,508.12</w:t>
            </w:r>
          </w:p>
        </w:tc>
      </w:tr>
      <w:tr>
        <w:trPr>
          <w:trHeight w:val="280" w:hRule="atLeast"/>
        </w:trPr>
        <w:tc>
          <w:tcPr>
            <w:tcW w:w="413" w:type="dxa"/>
          </w:tcPr>
          <w:p>
            <w:pPr>
              <w:pStyle w:val="TableParagraph"/>
              <w:spacing w:before="0"/>
              <w:rPr>
                <w:sz w:val="20"/>
              </w:rPr>
            </w:pPr>
          </w:p>
        </w:tc>
        <w:tc>
          <w:tcPr>
            <w:tcW w:w="3738" w:type="dxa"/>
          </w:tcPr>
          <w:p>
            <w:pPr>
              <w:pStyle w:val="TableParagraph"/>
              <w:ind w:left="203"/>
              <w:rPr>
                <w:sz w:val="20"/>
              </w:rPr>
            </w:pPr>
            <w:r>
              <w:rPr>
                <w:color w:val="231F20"/>
                <w:sz w:val="20"/>
              </w:rPr>
              <w:t>Operating</w:t>
            </w:r>
            <w:r>
              <w:rPr>
                <w:color w:val="231F20"/>
                <w:spacing w:val="50"/>
                <w:sz w:val="20"/>
              </w:rPr>
              <w:t> </w:t>
            </w:r>
            <w:r>
              <w:rPr>
                <w:color w:val="231F20"/>
                <w:spacing w:val="-2"/>
                <w:sz w:val="20"/>
              </w:rPr>
              <w:t>revenue</w:t>
            </w:r>
          </w:p>
        </w:tc>
        <w:tc>
          <w:tcPr>
            <w:tcW w:w="1732" w:type="dxa"/>
          </w:tcPr>
          <w:p>
            <w:pPr>
              <w:pStyle w:val="TableParagraph"/>
              <w:ind w:right="156"/>
              <w:jc w:val="right"/>
              <w:rPr>
                <w:sz w:val="20"/>
              </w:rPr>
            </w:pPr>
            <w:r>
              <w:rPr>
                <w:color w:val="231F20"/>
                <w:spacing w:val="-2"/>
                <w:sz w:val="20"/>
              </w:rPr>
              <w:t>99,908,865.93</w:t>
            </w:r>
          </w:p>
        </w:tc>
        <w:tc>
          <w:tcPr>
            <w:tcW w:w="1657" w:type="dxa"/>
          </w:tcPr>
          <w:p>
            <w:pPr>
              <w:pStyle w:val="TableParagraph"/>
              <w:ind w:right="114"/>
              <w:jc w:val="right"/>
              <w:rPr>
                <w:sz w:val="20"/>
              </w:rPr>
            </w:pPr>
            <w:r>
              <w:rPr>
                <w:color w:val="231F20"/>
                <w:spacing w:val="-2"/>
                <w:sz w:val="20"/>
              </w:rPr>
              <w:t>235,396,708.55</w:t>
            </w:r>
          </w:p>
        </w:tc>
      </w:tr>
      <w:tr>
        <w:trPr>
          <w:trHeight w:val="280" w:hRule="atLeast"/>
        </w:trPr>
        <w:tc>
          <w:tcPr>
            <w:tcW w:w="413" w:type="dxa"/>
          </w:tcPr>
          <w:p>
            <w:pPr>
              <w:pStyle w:val="TableParagraph"/>
              <w:spacing w:before="0"/>
              <w:rPr>
                <w:sz w:val="20"/>
              </w:rPr>
            </w:pPr>
          </w:p>
        </w:tc>
        <w:tc>
          <w:tcPr>
            <w:tcW w:w="3738" w:type="dxa"/>
          </w:tcPr>
          <w:p>
            <w:pPr>
              <w:pStyle w:val="TableParagraph"/>
              <w:ind w:left="203"/>
              <w:rPr>
                <w:sz w:val="20"/>
              </w:rPr>
            </w:pPr>
            <w:r>
              <w:rPr>
                <w:color w:val="231F20"/>
                <w:sz w:val="20"/>
              </w:rPr>
              <w:t>Total</w:t>
            </w:r>
            <w:r>
              <w:rPr>
                <w:color w:val="231F20"/>
                <w:spacing w:val="28"/>
                <w:sz w:val="20"/>
              </w:rPr>
              <w:t> </w:t>
            </w:r>
            <w:r>
              <w:rPr>
                <w:color w:val="231F20"/>
                <w:spacing w:val="-2"/>
                <w:sz w:val="20"/>
              </w:rPr>
              <w:t>profit</w:t>
            </w:r>
          </w:p>
        </w:tc>
        <w:tc>
          <w:tcPr>
            <w:tcW w:w="1732" w:type="dxa"/>
          </w:tcPr>
          <w:p>
            <w:pPr>
              <w:pStyle w:val="TableParagraph"/>
              <w:ind w:right="156"/>
              <w:jc w:val="right"/>
              <w:rPr>
                <w:sz w:val="20"/>
              </w:rPr>
            </w:pPr>
            <w:r>
              <w:rPr>
                <w:color w:val="231F20"/>
                <w:spacing w:val="-2"/>
                <w:sz w:val="20"/>
              </w:rPr>
              <w:t>12,838,361.86</w:t>
            </w:r>
          </w:p>
        </w:tc>
        <w:tc>
          <w:tcPr>
            <w:tcW w:w="1657" w:type="dxa"/>
          </w:tcPr>
          <w:p>
            <w:pPr>
              <w:pStyle w:val="TableParagraph"/>
              <w:ind w:right="114"/>
              <w:jc w:val="right"/>
              <w:rPr>
                <w:sz w:val="20"/>
              </w:rPr>
            </w:pPr>
            <w:r>
              <w:rPr>
                <w:color w:val="231F20"/>
                <w:spacing w:val="-2"/>
                <w:sz w:val="20"/>
              </w:rPr>
              <w:t>27,583,460.94</w:t>
            </w:r>
          </w:p>
        </w:tc>
      </w:tr>
      <w:tr>
        <w:trPr>
          <w:trHeight w:val="420" w:hRule="atLeast"/>
        </w:trPr>
        <w:tc>
          <w:tcPr>
            <w:tcW w:w="413" w:type="dxa"/>
          </w:tcPr>
          <w:p>
            <w:pPr>
              <w:pStyle w:val="TableParagraph"/>
              <w:spacing w:before="0"/>
              <w:rPr>
                <w:sz w:val="20"/>
              </w:rPr>
            </w:pPr>
          </w:p>
        </w:tc>
        <w:tc>
          <w:tcPr>
            <w:tcW w:w="3738" w:type="dxa"/>
          </w:tcPr>
          <w:p>
            <w:pPr>
              <w:pStyle w:val="TableParagraph"/>
              <w:ind w:left="203"/>
              <w:rPr>
                <w:sz w:val="20"/>
              </w:rPr>
            </w:pPr>
            <w:r>
              <w:rPr>
                <w:color w:val="231F20"/>
                <w:sz w:val="20"/>
              </w:rPr>
              <w:t>Net</w:t>
            </w:r>
            <w:r>
              <w:rPr>
                <w:color w:val="231F20"/>
                <w:spacing w:val="18"/>
                <w:sz w:val="20"/>
              </w:rPr>
              <w:t> </w:t>
            </w:r>
            <w:r>
              <w:rPr>
                <w:color w:val="231F20"/>
                <w:spacing w:val="-2"/>
                <w:sz w:val="20"/>
              </w:rPr>
              <w:t>profit</w:t>
            </w:r>
          </w:p>
        </w:tc>
        <w:tc>
          <w:tcPr>
            <w:tcW w:w="1732" w:type="dxa"/>
          </w:tcPr>
          <w:p>
            <w:pPr>
              <w:pStyle w:val="TableParagraph"/>
              <w:ind w:right="156"/>
              <w:jc w:val="right"/>
              <w:rPr>
                <w:sz w:val="20"/>
              </w:rPr>
            </w:pPr>
            <w:r>
              <w:rPr>
                <w:color w:val="231F20"/>
                <w:spacing w:val="-2"/>
                <w:sz w:val="20"/>
              </w:rPr>
              <w:t>11,300,683.07</w:t>
            </w:r>
          </w:p>
        </w:tc>
        <w:tc>
          <w:tcPr>
            <w:tcW w:w="1657" w:type="dxa"/>
          </w:tcPr>
          <w:p>
            <w:pPr>
              <w:pStyle w:val="TableParagraph"/>
              <w:ind w:right="114"/>
              <w:jc w:val="right"/>
              <w:rPr>
                <w:sz w:val="20"/>
              </w:rPr>
            </w:pPr>
            <w:r>
              <w:rPr>
                <w:color w:val="231F20"/>
                <w:spacing w:val="-2"/>
                <w:sz w:val="20"/>
              </w:rPr>
              <w:t>27,098,263.00</w:t>
            </w:r>
          </w:p>
        </w:tc>
      </w:tr>
      <w:tr>
        <w:trPr>
          <w:trHeight w:val="391" w:hRule="atLeast"/>
        </w:trPr>
        <w:tc>
          <w:tcPr>
            <w:tcW w:w="413" w:type="dxa"/>
          </w:tcPr>
          <w:p>
            <w:pPr>
              <w:pStyle w:val="TableParagraph"/>
              <w:spacing w:line="210" w:lineRule="exact" w:before="161"/>
              <w:ind w:left="50"/>
              <w:rPr>
                <w:sz w:val="20"/>
              </w:rPr>
            </w:pPr>
            <w:r>
              <w:rPr>
                <w:color w:val="231F20"/>
                <w:spacing w:val="-5"/>
                <w:sz w:val="20"/>
              </w:rPr>
              <w:t>9.</w:t>
            </w:r>
          </w:p>
        </w:tc>
        <w:tc>
          <w:tcPr>
            <w:tcW w:w="3738" w:type="dxa"/>
          </w:tcPr>
          <w:p>
            <w:pPr>
              <w:pStyle w:val="TableParagraph"/>
              <w:spacing w:line="210" w:lineRule="exact" w:before="161"/>
              <w:ind w:left="203"/>
              <w:rPr>
                <w:sz w:val="20"/>
              </w:rPr>
            </w:pPr>
            <w:r>
              <w:rPr>
                <w:color w:val="231F20"/>
                <w:sz w:val="20"/>
              </w:rPr>
              <w:t>Credit</w:t>
            </w:r>
            <w:r>
              <w:rPr>
                <w:color w:val="231F20"/>
                <w:spacing w:val="33"/>
                <w:sz w:val="20"/>
              </w:rPr>
              <w:t> </w:t>
            </w:r>
            <w:r>
              <w:rPr>
                <w:color w:val="231F20"/>
                <w:sz w:val="20"/>
              </w:rPr>
              <w:t>rating:</w:t>
            </w:r>
            <w:r>
              <w:rPr>
                <w:color w:val="231F20"/>
                <w:spacing w:val="34"/>
                <w:sz w:val="20"/>
              </w:rPr>
              <w:t> </w:t>
            </w:r>
            <w:r>
              <w:rPr>
                <w:color w:val="231F20"/>
                <w:sz w:val="20"/>
              </w:rPr>
              <w:t>No</w:t>
            </w:r>
            <w:r>
              <w:rPr>
                <w:color w:val="231F20"/>
                <w:spacing w:val="33"/>
                <w:sz w:val="20"/>
              </w:rPr>
              <w:t> </w:t>
            </w:r>
            <w:r>
              <w:rPr>
                <w:color w:val="231F20"/>
                <w:sz w:val="20"/>
              </w:rPr>
              <w:t>external</w:t>
            </w:r>
            <w:r>
              <w:rPr>
                <w:color w:val="231F20"/>
                <w:spacing w:val="34"/>
                <w:sz w:val="20"/>
              </w:rPr>
              <w:t> </w:t>
            </w:r>
            <w:r>
              <w:rPr>
                <w:color w:val="231F20"/>
                <w:sz w:val="20"/>
              </w:rPr>
              <w:t>credit</w:t>
            </w:r>
            <w:r>
              <w:rPr>
                <w:color w:val="231F20"/>
                <w:spacing w:val="33"/>
                <w:sz w:val="20"/>
              </w:rPr>
              <w:t> </w:t>
            </w:r>
            <w:r>
              <w:rPr>
                <w:color w:val="231F20"/>
                <w:spacing w:val="-2"/>
                <w:sz w:val="20"/>
              </w:rPr>
              <w:t>rating</w:t>
            </w:r>
          </w:p>
        </w:tc>
        <w:tc>
          <w:tcPr>
            <w:tcW w:w="1732" w:type="dxa"/>
          </w:tcPr>
          <w:p>
            <w:pPr>
              <w:pStyle w:val="TableParagraph"/>
              <w:spacing w:before="0"/>
              <w:rPr>
                <w:sz w:val="20"/>
              </w:rPr>
            </w:pPr>
          </w:p>
        </w:tc>
        <w:tc>
          <w:tcPr>
            <w:tcW w:w="1657" w:type="dxa"/>
          </w:tcPr>
          <w:p>
            <w:pPr>
              <w:pStyle w:val="TableParagraph"/>
              <w:spacing w:before="0"/>
              <w:rPr>
                <w:sz w:val="20"/>
              </w:rPr>
            </w:pPr>
          </w:p>
        </w:tc>
      </w:tr>
    </w:tbl>
    <w:p>
      <w:pPr>
        <w:pStyle w:val="BodyText"/>
        <w:spacing w:before="102"/>
      </w:pPr>
    </w:p>
    <w:p>
      <w:pPr>
        <w:pStyle w:val="BodyText"/>
        <w:ind w:left="2410"/>
      </w:pPr>
      <w:r>
        <w:rPr>
          <w:color w:val="231F20"/>
        </w:rPr>
        <w:t>Upon</w:t>
      </w:r>
      <w:r>
        <w:rPr>
          <w:color w:val="231F20"/>
          <w:spacing w:val="36"/>
        </w:rPr>
        <w:t> </w:t>
      </w:r>
      <w:r>
        <w:rPr>
          <w:color w:val="231F20"/>
        </w:rPr>
        <w:t>verification,</w:t>
      </w:r>
      <w:r>
        <w:rPr>
          <w:color w:val="231F20"/>
          <w:spacing w:val="36"/>
        </w:rPr>
        <w:t> </w:t>
      </w:r>
      <w:r>
        <w:rPr>
          <w:color w:val="231F20"/>
        </w:rPr>
        <w:t>Ningxia</w:t>
      </w:r>
      <w:r>
        <w:rPr>
          <w:color w:val="231F20"/>
          <w:spacing w:val="37"/>
        </w:rPr>
        <w:t> </w:t>
      </w:r>
      <w:r>
        <w:rPr>
          <w:color w:val="231F20"/>
        </w:rPr>
        <w:t>Jihong</w:t>
      </w:r>
      <w:r>
        <w:rPr>
          <w:color w:val="231F20"/>
          <w:spacing w:val="37"/>
        </w:rPr>
        <w:t> </w:t>
      </w:r>
      <w:r>
        <w:rPr>
          <w:color w:val="231F20"/>
        </w:rPr>
        <w:t>is</w:t>
      </w:r>
      <w:r>
        <w:rPr>
          <w:color w:val="231F20"/>
          <w:spacing w:val="37"/>
        </w:rPr>
        <w:t> </w:t>
      </w:r>
      <w:r>
        <w:rPr>
          <w:color w:val="231F20"/>
        </w:rPr>
        <w:t>not</w:t>
      </w:r>
      <w:r>
        <w:rPr>
          <w:color w:val="231F20"/>
          <w:spacing w:val="36"/>
        </w:rPr>
        <w:t> </w:t>
      </w:r>
      <w:r>
        <w:rPr>
          <w:color w:val="231F20"/>
        </w:rPr>
        <w:t>an</w:t>
      </w:r>
      <w:r>
        <w:rPr>
          <w:color w:val="231F20"/>
          <w:spacing w:val="37"/>
        </w:rPr>
        <w:t> </w:t>
      </w:r>
      <w:r>
        <w:rPr>
          <w:color w:val="231F20"/>
        </w:rPr>
        <w:t>untrustworthy</w:t>
      </w:r>
      <w:r>
        <w:rPr>
          <w:color w:val="231F20"/>
          <w:spacing w:val="37"/>
        </w:rPr>
        <w:t> </w:t>
      </w:r>
      <w:r>
        <w:rPr>
          <w:color w:val="231F20"/>
        </w:rPr>
        <w:t>judgment</w:t>
      </w:r>
      <w:r>
        <w:rPr>
          <w:color w:val="231F20"/>
          <w:spacing w:val="37"/>
        </w:rPr>
        <w:t> </w:t>
      </w:r>
      <w:r>
        <w:rPr>
          <w:color w:val="231F20"/>
          <w:spacing w:val="-2"/>
        </w:rPr>
        <w:t>defaulter.</w:t>
      </w:r>
    </w:p>
    <w:p>
      <w:pPr>
        <w:pStyle w:val="BodyText"/>
        <w:spacing w:before="48"/>
      </w:pPr>
    </w:p>
    <w:p>
      <w:pPr>
        <w:pStyle w:val="Heading5"/>
        <w:numPr>
          <w:ilvl w:val="0"/>
          <w:numId w:val="8"/>
        </w:numPr>
        <w:tabs>
          <w:tab w:pos="1843" w:val="left" w:leader="none"/>
        </w:tabs>
        <w:spacing w:line="240" w:lineRule="auto" w:before="0" w:after="0"/>
        <w:ind w:left="1843" w:right="0" w:hanging="567"/>
        <w:jc w:val="left"/>
        <w:rPr>
          <w:i/>
        </w:rPr>
      </w:pPr>
      <w:r>
        <w:rPr>
          <w:i/>
          <w:color w:val="231F20"/>
        </w:rPr>
        <w:t>Huanggang</w:t>
      </w:r>
      <w:r>
        <w:rPr>
          <w:i/>
          <w:color w:val="231F20"/>
          <w:spacing w:val="63"/>
          <w:w w:val="150"/>
        </w:rPr>
        <w:t> </w:t>
      </w:r>
      <w:r>
        <w:rPr>
          <w:i/>
          <w:color w:val="231F20"/>
        </w:rPr>
        <w:t>Jihong</w:t>
      </w:r>
      <w:r>
        <w:rPr>
          <w:i/>
          <w:color w:val="231F20"/>
          <w:spacing w:val="64"/>
          <w:w w:val="150"/>
        </w:rPr>
        <w:t> </w:t>
      </w:r>
      <w:r>
        <w:rPr>
          <w:i/>
          <w:color w:val="231F20"/>
        </w:rPr>
        <w:t>Packaging</w:t>
      </w:r>
      <w:r>
        <w:rPr>
          <w:i/>
          <w:color w:val="231F20"/>
          <w:spacing w:val="65"/>
          <w:w w:val="150"/>
        </w:rPr>
        <w:t> </w:t>
      </w:r>
      <w:r>
        <w:rPr>
          <w:i/>
          <w:color w:val="231F20"/>
        </w:rPr>
        <w:t>Limited*(</w:t>
      </w:r>
      <w:r>
        <w:rPr>
          <w:rFonts w:ascii="Microsoft YaHei" w:eastAsia="Microsoft YaHei"/>
          <w:color w:val="231F20"/>
        </w:rPr>
        <w:t>黃岡市吉宏包裝有限公司</w:t>
      </w:r>
      <w:r>
        <w:rPr>
          <w:i/>
          <w:color w:val="231F20"/>
          <w:spacing w:val="-10"/>
        </w:rPr>
        <w:t>)</w:t>
      </w:r>
    </w:p>
    <w:p>
      <w:pPr>
        <w:pStyle w:val="BodyText"/>
        <w:spacing w:before="39"/>
        <w:rPr>
          <w:b/>
          <w:i/>
        </w:rPr>
      </w:pPr>
    </w:p>
    <w:p>
      <w:pPr>
        <w:pStyle w:val="ListParagraph"/>
        <w:numPr>
          <w:ilvl w:val="1"/>
          <w:numId w:val="8"/>
        </w:numPr>
        <w:tabs>
          <w:tab w:pos="2410" w:val="left" w:leader="none"/>
        </w:tabs>
        <w:spacing w:line="252" w:lineRule="auto" w:before="0" w:after="0"/>
        <w:ind w:left="2410" w:right="136" w:hanging="567"/>
        <w:jc w:val="left"/>
        <w:rPr>
          <w:sz w:val="20"/>
        </w:rPr>
      </w:pPr>
      <w:r>
        <w:rPr>
          <w:color w:val="231F20"/>
          <w:sz w:val="20"/>
        </w:rPr>
        <w:t>Company</w:t>
      </w:r>
      <w:r>
        <w:rPr>
          <w:color w:val="231F20"/>
          <w:spacing w:val="33"/>
          <w:sz w:val="20"/>
        </w:rPr>
        <w:t> </w:t>
      </w:r>
      <w:r>
        <w:rPr>
          <w:color w:val="231F20"/>
          <w:sz w:val="20"/>
        </w:rPr>
        <w:t>name</w:t>
      </w:r>
      <w:r>
        <w:rPr>
          <w:color w:val="231F20"/>
          <w:spacing w:val="16"/>
          <w:sz w:val="20"/>
        </w:rPr>
        <w:t>: </w:t>
      </w:r>
      <w:r>
        <w:rPr>
          <w:color w:val="231F20"/>
          <w:sz w:val="20"/>
        </w:rPr>
        <w:t>Huanggang</w:t>
      </w:r>
      <w:r>
        <w:rPr>
          <w:color w:val="231F20"/>
          <w:spacing w:val="33"/>
          <w:sz w:val="20"/>
        </w:rPr>
        <w:t> </w:t>
      </w:r>
      <w:r>
        <w:rPr>
          <w:color w:val="231F20"/>
          <w:sz w:val="20"/>
        </w:rPr>
        <w:t>Jihong</w:t>
      </w:r>
      <w:r>
        <w:rPr>
          <w:color w:val="231F20"/>
          <w:spacing w:val="33"/>
          <w:sz w:val="20"/>
        </w:rPr>
        <w:t> </w:t>
      </w:r>
      <w:r>
        <w:rPr>
          <w:color w:val="231F20"/>
          <w:sz w:val="20"/>
        </w:rPr>
        <w:t>Packaging</w:t>
      </w:r>
      <w:r>
        <w:rPr>
          <w:color w:val="231F20"/>
          <w:spacing w:val="33"/>
          <w:sz w:val="20"/>
        </w:rPr>
        <w:t> </w:t>
      </w:r>
      <w:r>
        <w:rPr>
          <w:color w:val="231F20"/>
          <w:sz w:val="20"/>
        </w:rPr>
        <w:t>Limited*(</w:t>
      </w:r>
      <w:r>
        <w:rPr>
          <w:rFonts w:ascii="新細明體" w:eastAsia="新細明體"/>
          <w:color w:val="231F20"/>
          <w:sz w:val="20"/>
        </w:rPr>
        <w:t>黃岡市吉宏包裝有限公</w:t>
      </w:r>
      <w:r>
        <w:rPr>
          <w:rFonts w:ascii="新細明體" w:eastAsia="新細明體"/>
          <w:color w:val="231F20"/>
          <w:spacing w:val="-6"/>
          <w:sz w:val="20"/>
        </w:rPr>
        <w:t>司</w:t>
      </w:r>
      <w:r>
        <w:rPr>
          <w:color w:val="231F20"/>
          <w:spacing w:val="-6"/>
          <w:sz w:val="20"/>
        </w:rPr>
        <w:t>)</w:t>
      </w:r>
    </w:p>
    <w:p>
      <w:pPr>
        <w:pStyle w:val="BodyText"/>
        <w:spacing w:before="51"/>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Date</w:t>
      </w:r>
      <w:r>
        <w:rPr>
          <w:color w:val="231F20"/>
          <w:spacing w:val="32"/>
          <w:sz w:val="20"/>
        </w:rPr>
        <w:t> </w:t>
      </w:r>
      <w:r>
        <w:rPr>
          <w:color w:val="231F20"/>
          <w:sz w:val="20"/>
        </w:rPr>
        <w:t>of</w:t>
      </w:r>
      <w:r>
        <w:rPr>
          <w:color w:val="231F20"/>
          <w:spacing w:val="32"/>
          <w:sz w:val="20"/>
        </w:rPr>
        <w:t> </w:t>
      </w:r>
      <w:r>
        <w:rPr>
          <w:color w:val="231F20"/>
          <w:sz w:val="20"/>
        </w:rPr>
        <w:t>establishment:</w:t>
      </w:r>
      <w:r>
        <w:rPr>
          <w:color w:val="231F20"/>
          <w:spacing w:val="32"/>
          <w:sz w:val="20"/>
        </w:rPr>
        <w:t> </w:t>
      </w:r>
      <w:r>
        <w:rPr>
          <w:color w:val="231F20"/>
          <w:sz w:val="20"/>
        </w:rPr>
        <w:t>April</w:t>
      </w:r>
      <w:r>
        <w:rPr>
          <w:color w:val="231F20"/>
          <w:spacing w:val="32"/>
          <w:sz w:val="20"/>
        </w:rPr>
        <w:t> </w:t>
      </w:r>
      <w:r>
        <w:rPr>
          <w:color w:val="231F20"/>
          <w:sz w:val="20"/>
        </w:rPr>
        <w:t>1,</w:t>
      </w:r>
      <w:r>
        <w:rPr>
          <w:color w:val="231F20"/>
          <w:spacing w:val="32"/>
          <w:sz w:val="20"/>
        </w:rPr>
        <w:t> </w:t>
      </w:r>
      <w:r>
        <w:rPr>
          <w:color w:val="231F20"/>
          <w:spacing w:val="-4"/>
          <w:sz w:val="20"/>
        </w:rPr>
        <w:t>2019</w:t>
      </w:r>
    </w:p>
    <w:p>
      <w:pPr>
        <w:pStyle w:val="BodyText"/>
        <w:spacing w:before="100"/>
      </w:pPr>
    </w:p>
    <w:p>
      <w:pPr>
        <w:pStyle w:val="ListParagraph"/>
        <w:numPr>
          <w:ilvl w:val="1"/>
          <w:numId w:val="8"/>
        </w:numPr>
        <w:tabs>
          <w:tab w:pos="2410" w:val="left" w:leader="none"/>
        </w:tabs>
        <w:spacing w:line="292" w:lineRule="auto" w:before="0" w:after="0"/>
        <w:ind w:left="2410" w:right="135" w:hanging="567"/>
        <w:jc w:val="left"/>
        <w:rPr>
          <w:sz w:val="20"/>
        </w:rPr>
      </w:pPr>
      <w:r>
        <w:rPr>
          <w:color w:val="231F20"/>
          <w:sz w:val="20"/>
        </w:rPr>
        <w:t>Place of registration: No. 6 Nanhu 5th Road, Nanhu Industrial Park, Nanhu Street, Huangzhou District, Huanggang City</w:t>
      </w:r>
    </w:p>
    <w:p>
      <w:pPr>
        <w:pStyle w:val="BodyText"/>
        <w:spacing w:before="49"/>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Registered</w:t>
      </w:r>
      <w:r>
        <w:rPr>
          <w:color w:val="231F20"/>
          <w:spacing w:val="43"/>
          <w:sz w:val="20"/>
        </w:rPr>
        <w:t> </w:t>
      </w:r>
      <w:r>
        <w:rPr>
          <w:color w:val="231F20"/>
          <w:sz w:val="20"/>
        </w:rPr>
        <w:t>capital:</w:t>
      </w:r>
      <w:r>
        <w:rPr>
          <w:color w:val="231F20"/>
          <w:spacing w:val="43"/>
          <w:sz w:val="20"/>
        </w:rPr>
        <w:t> </w:t>
      </w:r>
      <w:r>
        <w:rPr>
          <w:color w:val="231F20"/>
          <w:sz w:val="20"/>
        </w:rPr>
        <w:t>RMB20</w:t>
      </w:r>
      <w:r>
        <w:rPr>
          <w:color w:val="231F20"/>
          <w:spacing w:val="44"/>
          <w:sz w:val="20"/>
        </w:rPr>
        <w:t> </w:t>
      </w:r>
      <w:r>
        <w:rPr>
          <w:color w:val="231F20"/>
          <w:spacing w:val="-2"/>
          <w:sz w:val="20"/>
        </w:rPr>
        <w:t>million</w:t>
      </w:r>
    </w:p>
    <w:p>
      <w:pPr>
        <w:pStyle w:val="BodyText"/>
        <w:spacing w:before="100"/>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Legal</w:t>
      </w:r>
      <w:r>
        <w:rPr>
          <w:color w:val="231F20"/>
          <w:spacing w:val="46"/>
          <w:sz w:val="20"/>
        </w:rPr>
        <w:t> </w:t>
      </w:r>
      <w:r>
        <w:rPr>
          <w:color w:val="231F20"/>
          <w:sz w:val="20"/>
        </w:rPr>
        <w:t>representative:</w:t>
      </w:r>
      <w:r>
        <w:rPr>
          <w:color w:val="231F20"/>
          <w:spacing w:val="47"/>
          <w:sz w:val="20"/>
        </w:rPr>
        <w:t> </w:t>
      </w:r>
      <w:r>
        <w:rPr>
          <w:color w:val="231F20"/>
          <w:sz w:val="20"/>
        </w:rPr>
        <w:t>Zhang</w:t>
      </w:r>
      <w:r>
        <w:rPr>
          <w:color w:val="231F20"/>
          <w:spacing w:val="47"/>
          <w:sz w:val="20"/>
        </w:rPr>
        <w:t> </w:t>
      </w:r>
      <w:r>
        <w:rPr>
          <w:color w:val="231F20"/>
          <w:spacing w:val="-2"/>
          <w:sz w:val="20"/>
        </w:rPr>
        <w:t>Heping</w:t>
      </w:r>
    </w:p>
    <w:p>
      <w:pPr>
        <w:pStyle w:val="ListParagraph"/>
        <w:spacing w:after="0" w:line="240" w:lineRule="auto"/>
        <w:jc w:val="left"/>
        <w:rPr>
          <w:sz w:val="20"/>
        </w:rPr>
        <w:sectPr>
          <w:pgSz w:w="11910" w:h="15880"/>
          <w:pgMar w:header="567" w:footer="573" w:top="1300" w:bottom="760" w:left="1275" w:right="1275"/>
        </w:sectPr>
      </w:pPr>
    </w:p>
    <w:p>
      <w:pPr>
        <w:pStyle w:val="BodyText"/>
        <w:spacing w:before="144"/>
      </w:pPr>
    </w:p>
    <w:p>
      <w:pPr>
        <w:pStyle w:val="ListParagraph"/>
        <w:numPr>
          <w:ilvl w:val="1"/>
          <w:numId w:val="8"/>
        </w:numPr>
        <w:tabs>
          <w:tab w:pos="2410" w:val="left" w:leader="none"/>
        </w:tabs>
        <w:spacing w:line="292" w:lineRule="auto" w:before="1" w:after="0"/>
        <w:ind w:left="2410" w:right="130" w:hanging="567"/>
        <w:jc w:val="both"/>
        <w:rPr>
          <w:sz w:val="20"/>
        </w:rPr>
      </w:pPr>
      <w:r>
        <w:rPr>
          <w:color w:val="231F20"/>
          <w:sz w:val="20"/>
        </w:rPr>
        <w:t>Scope</w:t>
      </w:r>
      <w:r>
        <w:rPr>
          <w:color w:val="231F20"/>
          <w:spacing w:val="40"/>
          <w:sz w:val="20"/>
        </w:rPr>
        <w:t> </w:t>
      </w:r>
      <w:r>
        <w:rPr>
          <w:color w:val="231F20"/>
          <w:sz w:val="20"/>
        </w:rPr>
        <w:t>of</w:t>
      </w:r>
      <w:r>
        <w:rPr>
          <w:color w:val="231F20"/>
          <w:spacing w:val="40"/>
          <w:sz w:val="20"/>
        </w:rPr>
        <w:t> </w:t>
      </w:r>
      <w:r>
        <w:rPr>
          <w:color w:val="231F20"/>
          <w:sz w:val="20"/>
        </w:rPr>
        <w:t>business:</w:t>
      </w:r>
      <w:r>
        <w:rPr>
          <w:color w:val="231F20"/>
          <w:spacing w:val="40"/>
          <w:sz w:val="20"/>
        </w:rPr>
        <w:t> </w:t>
      </w:r>
      <w:r>
        <w:rPr>
          <w:color w:val="231F20"/>
          <w:sz w:val="20"/>
        </w:rPr>
        <w:t>printing</w:t>
      </w:r>
      <w:r>
        <w:rPr>
          <w:color w:val="231F20"/>
          <w:spacing w:val="40"/>
          <w:sz w:val="20"/>
        </w:rPr>
        <w:t> </w:t>
      </w:r>
      <w:r>
        <w:rPr>
          <w:color w:val="231F20"/>
          <w:sz w:val="20"/>
        </w:rPr>
        <w:t>of</w:t>
      </w:r>
      <w:r>
        <w:rPr>
          <w:color w:val="231F20"/>
          <w:spacing w:val="40"/>
          <w:sz w:val="20"/>
        </w:rPr>
        <w:t> </w:t>
      </w:r>
      <w:r>
        <w:rPr>
          <w:color w:val="231F20"/>
          <w:sz w:val="20"/>
        </w:rPr>
        <w:t>packaging</w:t>
      </w:r>
      <w:r>
        <w:rPr>
          <w:color w:val="231F20"/>
          <w:spacing w:val="40"/>
          <w:sz w:val="20"/>
        </w:rPr>
        <w:t> </w:t>
      </w:r>
      <w:r>
        <w:rPr>
          <w:color w:val="231F20"/>
          <w:sz w:val="20"/>
        </w:rPr>
        <w:t>and</w:t>
      </w:r>
      <w:r>
        <w:rPr>
          <w:color w:val="231F20"/>
          <w:spacing w:val="40"/>
          <w:sz w:val="20"/>
        </w:rPr>
        <w:t> </w:t>
      </w:r>
      <w:r>
        <w:rPr>
          <w:color w:val="231F20"/>
          <w:sz w:val="20"/>
        </w:rPr>
        <w:t>decoration</w:t>
      </w:r>
      <w:r>
        <w:rPr>
          <w:color w:val="231F20"/>
          <w:spacing w:val="40"/>
          <w:sz w:val="20"/>
        </w:rPr>
        <w:t> </w:t>
      </w:r>
      <w:r>
        <w:rPr>
          <w:color w:val="231F20"/>
          <w:sz w:val="20"/>
        </w:rPr>
        <w:t>printed</w:t>
      </w:r>
      <w:r>
        <w:rPr>
          <w:color w:val="231F20"/>
          <w:spacing w:val="40"/>
          <w:sz w:val="20"/>
        </w:rPr>
        <w:t> </w:t>
      </w:r>
      <w:r>
        <w:rPr>
          <w:color w:val="231F20"/>
          <w:sz w:val="20"/>
        </w:rPr>
        <w:t>materials</w:t>
      </w:r>
      <w:r>
        <w:rPr>
          <w:color w:val="231F20"/>
          <w:spacing w:val="40"/>
          <w:sz w:val="20"/>
        </w:rPr>
        <w:t> </w:t>
      </w:r>
      <w:r>
        <w:rPr>
          <w:color w:val="231F20"/>
          <w:sz w:val="20"/>
        </w:rPr>
        <w:t>and other printed materials: design, production, agency, and distribution of various domestic advertisements; manufacturing of plastic films; production of plastic products;</w:t>
      </w:r>
      <w:r>
        <w:rPr>
          <w:color w:val="231F20"/>
          <w:spacing w:val="40"/>
          <w:sz w:val="20"/>
        </w:rPr>
        <w:t> </w:t>
      </w:r>
      <w:r>
        <w:rPr>
          <w:color w:val="231F20"/>
          <w:sz w:val="20"/>
        </w:rPr>
        <w:t>design,</w:t>
      </w:r>
      <w:r>
        <w:rPr>
          <w:color w:val="231F20"/>
          <w:spacing w:val="40"/>
          <w:sz w:val="20"/>
        </w:rPr>
        <w:t> </w:t>
      </w:r>
      <w:r>
        <w:rPr>
          <w:color w:val="231F20"/>
          <w:sz w:val="20"/>
        </w:rPr>
        <w:t>production,</w:t>
      </w:r>
      <w:r>
        <w:rPr>
          <w:color w:val="231F20"/>
          <w:spacing w:val="40"/>
          <w:sz w:val="20"/>
        </w:rPr>
        <w:t> </w:t>
      </w:r>
      <w:r>
        <w:rPr>
          <w:color w:val="231F20"/>
          <w:sz w:val="20"/>
        </w:rPr>
        <w:t>and</w:t>
      </w:r>
      <w:r>
        <w:rPr>
          <w:color w:val="231F20"/>
          <w:spacing w:val="40"/>
          <w:sz w:val="20"/>
        </w:rPr>
        <w:t> </w:t>
      </w:r>
      <w:r>
        <w:rPr>
          <w:color w:val="231F20"/>
          <w:sz w:val="20"/>
        </w:rPr>
        <w:t>sales</w:t>
      </w:r>
      <w:r>
        <w:rPr>
          <w:color w:val="231F20"/>
          <w:spacing w:val="40"/>
          <w:sz w:val="20"/>
        </w:rPr>
        <w:t> </w:t>
      </w:r>
      <w:r>
        <w:rPr>
          <w:color w:val="231F20"/>
          <w:sz w:val="20"/>
        </w:rPr>
        <w:t>of</w:t>
      </w:r>
      <w:r>
        <w:rPr>
          <w:color w:val="231F20"/>
          <w:spacing w:val="40"/>
          <w:sz w:val="20"/>
        </w:rPr>
        <w:t> </w:t>
      </w:r>
      <w:r>
        <w:rPr>
          <w:color w:val="231F20"/>
          <w:sz w:val="20"/>
        </w:rPr>
        <w:t>paper</w:t>
      </w:r>
      <w:r>
        <w:rPr>
          <w:color w:val="231F20"/>
          <w:spacing w:val="40"/>
          <w:sz w:val="20"/>
        </w:rPr>
        <w:t> </w:t>
      </w:r>
      <w:r>
        <w:rPr>
          <w:color w:val="231F20"/>
          <w:sz w:val="20"/>
        </w:rPr>
        <w:t>products;</w:t>
      </w:r>
      <w:r>
        <w:rPr>
          <w:color w:val="231F20"/>
          <w:spacing w:val="40"/>
          <w:sz w:val="20"/>
        </w:rPr>
        <w:t> </w:t>
      </w:r>
      <w:r>
        <w:rPr>
          <w:color w:val="231F20"/>
          <w:sz w:val="20"/>
        </w:rPr>
        <w:t>wholesale</w:t>
      </w:r>
      <w:r>
        <w:rPr>
          <w:color w:val="231F20"/>
          <w:spacing w:val="40"/>
          <w:sz w:val="20"/>
        </w:rPr>
        <w:t> </w:t>
      </w:r>
      <w:r>
        <w:rPr>
          <w:color w:val="231F20"/>
          <w:sz w:val="20"/>
        </w:rPr>
        <w:t>and</w:t>
      </w:r>
      <w:r>
        <w:rPr>
          <w:color w:val="231F20"/>
          <w:spacing w:val="40"/>
          <w:sz w:val="20"/>
        </w:rPr>
        <w:t> </w:t>
      </w:r>
      <w:r>
        <w:rPr>
          <w:color w:val="231F20"/>
          <w:sz w:val="20"/>
        </w:rPr>
        <w:t>retail of</w:t>
      </w:r>
      <w:r>
        <w:rPr>
          <w:color w:val="231F20"/>
          <w:sz w:val="20"/>
        </w:rPr>
        <w:t> paper and printing equipment; repair and technical consultation of general machinery</w:t>
      </w:r>
      <w:r>
        <w:rPr>
          <w:color w:val="231F20"/>
          <w:spacing w:val="40"/>
          <w:sz w:val="20"/>
        </w:rPr>
        <w:t> </w:t>
      </w:r>
      <w:r>
        <w:rPr>
          <w:color w:val="231F20"/>
          <w:sz w:val="20"/>
        </w:rPr>
        <w:t>and</w:t>
      </w:r>
      <w:r>
        <w:rPr>
          <w:color w:val="231F20"/>
          <w:spacing w:val="40"/>
          <w:sz w:val="20"/>
        </w:rPr>
        <w:t> </w:t>
      </w:r>
      <w:r>
        <w:rPr>
          <w:color w:val="231F20"/>
          <w:sz w:val="20"/>
        </w:rPr>
        <w:t>equipment.</w:t>
      </w:r>
      <w:r>
        <w:rPr>
          <w:color w:val="231F20"/>
          <w:spacing w:val="40"/>
          <w:sz w:val="20"/>
        </w:rPr>
        <w:t> </w:t>
      </w:r>
      <w:r>
        <w:rPr>
          <w:color w:val="231F20"/>
          <w:sz w:val="20"/>
        </w:rPr>
        <w:t>(For</w:t>
      </w:r>
      <w:r>
        <w:rPr>
          <w:color w:val="231F20"/>
          <w:spacing w:val="40"/>
          <w:sz w:val="20"/>
        </w:rPr>
        <w:t> </w:t>
      </w:r>
      <w:r>
        <w:rPr>
          <w:color w:val="231F20"/>
          <w:sz w:val="20"/>
        </w:rPr>
        <w:t>business</w:t>
      </w:r>
      <w:r>
        <w:rPr>
          <w:color w:val="231F20"/>
          <w:spacing w:val="40"/>
          <w:sz w:val="20"/>
        </w:rPr>
        <w:t> </w:t>
      </w:r>
      <w:r>
        <w:rPr>
          <w:color w:val="231F20"/>
          <w:sz w:val="20"/>
        </w:rPr>
        <w:t>activities</w:t>
      </w:r>
      <w:r>
        <w:rPr>
          <w:color w:val="231F20"/>
          <w:spacing w:val="40"/>
          <w:sz w:val="20"/>
        </w:rPr>
        <w:t> </w:t>
      </w:r>
      <w:r>
        <w:rPr>
          <w:color w:val="231F20"/>
          <w:sz w:val="20"/>
        </w:rPr>
        <w:t>requiring</w:t>
      </w:r>
      <w:r>
        <w:rPr>
          <w:color w:val="231F20"/>
          <w:spacing w:val="40"/>
          <w:sz w:val="20"/>
        </w:rPr>
        <w:t> </w:t>
      </w:r>
      <w:r>
        <w:rPr>
          <w:color w:val="231F20"/>
          <w:sz w:val="20"/>
        </w:rPr>
        <w:t>licenses,</w:t>
      </w:r>
      <w:r>
        <w:rPr>
          <w:color w:val="231F20"/>
          <w:spacing w:val="40"/>
          <w:sz w:val="20"/>
        </w:rPr>
        <w:t> </w:t>
      </w:r>
      <w:r>
        <w:rPr>
          <w:color w:val="231F20"/>
          <w:sz w:val="20"/>
        </w:rPr>
        <w:t>operation</w:t>
      </w:r>
      <w:r>
        <w:rPr>
          <w:color w:val="231F20"/>
          <w:spacing w:val="40"/>
          <w:sz w:val="20"/>
        </w:rPr>
        <w:t> </w:t>
      </w:r>
      <w:r>
        <w:rPr>
          <w:color w:val="231F20"/>
          <w:sz w:val="20"/>
        </w:rPr>
        <w:t>is</w:t>
      </w:r>
      <w:r>
        <w:rPr>
          <w:color w:val="231F20"/>
          <w:spacing w:val="40"/>
          <w:sz w:val="20"/>
        </w:rPr>
        <w:t> </w:t>
      </w:r>
      <w:r>
        <w:rPr>
          <w:color w:val="231F20"/>
          <w:sz w:val="20"/>
        </w:rPr>
        <w:t>permitted</w:t>
      </w:r>
      <w:r>
        <w:rPr>
          <w:color w:val="231F20"/>
          <w:spacing w:val="40"/>
          <w:sz w:val="20"/>
        </w:rPr>
        <w:t> </w:t>
      </w:r>
      <w:r>
        <w:rPr>
          <w:color w:val="231F20"/>
          <w:sz w:val="20"/>
        </w:rPr>
        <w:t>only</w:t>
      </w:r>
      <w:r>
        <w:rPr>
          <w:color w:val="231F20"/>
          <w:spacing w:val="40"/>
          <w:sz w:val="20"/>
        </w:rPr>
        <w:t> </w:t>
      </w:r>
      <w:r>
        <w:rPr>
          <w:color w:val="231F20"/>
          <w:sz w:val="20"/>
        </w:rPr>
        <w:t>after</w:t>
      </w:r>
      <w:r>
        <w:rPr>
          <w:color w:val="231F20"/>
          <w:spacing w:val="40"/>
          <w:sz w:val="20"/>
        </w:rPr>
        <w:t> </w:t>
      </w:r>
      <w:r>
        <w:rPr>
          <w:color w:val="231F20"/>
          <w:sz w:val="20"/>
        </w:rPr>
        <w:t>relevant</w:t>
      </w:r>
      <w:r>
        <w:rPr>
          <w:color w:val="231F20"/>
          <w:spacing w:val="40"/>
          <w:sz w:val="20"/>
        </w:rPr>
        <w:t> </w:t>
      </w:r>
      <w:r>
        <w:rPr>
          <w:color w:val="231F20"/>
          <w:sz w:val="20"/>
        </w:rPr>
        <w:t>departmental</w:t>
      </w:r>
      <w:r>
        <w:rPr>
          <w:color w:val="231F20"/>
          <w:spacing w:val="40"/>
          <w:sz w:val="20"/>
        </w:rPr>
        <w:t> </w:t>
      </w:r>
      <w:r>
        <w:rPr>
          <w:color w:val="231F20"/>
          <w:sz w:val="20"/>
        </w:rPr>
        <w:t>approval</w:t>
      </w:r>
      <w:r>
        <w:rPr>
          <w:color w:val="231F20"/>
          <w:spacing w:val="40"/>
          <w:sz w:val="20"/>
        </w:rPr>
        <w:t> </w:t>
      </w:r>
      <w:r>
        <w:rPr>
          <w:color w:val="231F20"/>
          <w:sz w:val="20"/>
        </w:rPr>
        <w:t>is</w:t>
      </w:r>
      <w:r>
        <w:rPr>
          <w:color w:val="231F20"/>
          <w:spacing w:val="40"/>
          <w:sz w:val="20"/>
        </w:rPr>
        <w:t> </w:t>
      </w:r>
      <w:r>
        <w:rPr>
          <w:color w:val="231F20"/>
          <w:sz w:val="20"/>
        </w:rPr>
        <w:t>obtained)</w:t>
      </w:r>
    </w:p>
    <w:p>
      <w:pPr>
        <w:pStyle w:val="BodyText"/>
        <w:spacing w:before="45"/>
      </w:pPr>
    </w:p>
    <w:p>
      <w:pPr>
        <w:pStyle w:val="ListParagraph"/>
        <w:numPr>
          <w:ilvl w:val="1"/>
          <w:numId w:val="8"/>
        </w:numPr>
        <w:tabs>
          <w:tab w:pos="2410" w:val="left" w:leader="none"/>
        </w:tabs>
        <w:spacing w:line="292" w:lineRule="auto" w:before="1" w:after="0"/>
        <w:ind w:left="2410" w:right="135" w:hanging="567"/>
        <w:jc w:val="both"/>
        <w:rPr>
          <w:sz w:val="20"/>
        </w:rPr>
      </w:pPr>
      <w:r>
        <w:rPr>
          <w:color w:val="231F20"/>
          <w:sz w:val="20"/>
        </w:rPr>
        <w:t>Related party relationship or business association with the Company: a </w:t>
      </w:r>
      <w:r>
        <w:rPr>
          <w:color w:val="231F20"/>
          <w:sz w:val="20"/>
        </w:rPr>
        <w:t>wholly- owned subsidiary of the Company</w:t>
      </w:r>
    </w:p>
    <w:p>
      <w:pPr>
        <w:pStyle w:val="BodyText"/>
        <w:spacing w:before="48"/>
      </w:pPr>
    </w:p>
    <w:p>
      <w:pPr>
        <w:pStyle w:val="ListParagraph"/>
        <w:numPr>
          <w:ilvl w:val="1"/>
          <w:numId w:val="8"/>
        </w:numPr>
        <w:tabs>
          <w:tab w:pos="2409" w:val="left" w:leader="none"/>
        </w:tabs>
        <w:spacing w:line="240" w:lineRule="auto" w:before="1" w:after="0"/>
        <w:ind w:left="2409" w:right="0" w:hanging="566"/>
        <w:jc w:val="left"/>
        <w:rPr>
          <w:sz w:val="20"/>
        </w:rPr>
      </w:pPr>
      <w:r>
        <w:rPr>
          <w:color w:val="231F20"/>
          <w:sz w:val="20"/>
        </w:rPr>
        <w:t>Key</w:t>
      </w:r>
      <w:r>
        <w:rPr>
          <w:color w:val="231F20"/>
          <w:spacing w:val="29"/>
          <w:sz w:val="20"/>
        </w:rPr>
        <w:t> </w:t>
      </w:r>
      <w:r>
        <w:rPr>
          <w:color w:val="231F20"/>
          <w:sz w:val="20"/>
        </w:rPr>
        <w:t>financial</w:t>
      </w:r>
      <w:r>
        <w:rPr>
          <w:color w:val="231F20"/>
          <w:spacing w:val="30"/>
          <w:sz w:val="20"/>
        </w:rPr>
        <w:t> </w:t>
      </w:r>
      <w:r>
        <w:rPr>
          <w:color w:val="231F20"/>
          <w:sz w:val="20"/>
        </w:rPr>
        <w:t>data</w:t>
      </w:r>
      <w:r>
        <w:rPr>
          <w:color w:val="231F20"/>
          <w:spacing w:val="30"/>
          <w:sz w:val="20"/>
        </w:rPr>
        <w:t> </w:t>
      </w:r>
      <w:r>
        <w:rPr>
          <w:color w:val="231F20"/>
          <w:sz w:val="20"/>
        </w:rPr>
        <w:t>for</w:t>
      </w:r>
      <w:r>
        <w:rPr>
          <w:color w:val="231F20"/>
          <w:spacing w:val="29"/>
          <w:sz w:val="20"/>
        </w:rPr>
        <w:t> </w:t>
      </w:r>
      <w:r>
        <w:rPr>
          <w:color w:val="231F20"/>
          <w:sz w:val="20"/>
        </w:rPr>
        <w:t>the</w:t>
      </w:r>
      <w:r>
        <w:rPr>
          <w:color w:val="231F20"/>
          <w:spacing w:val="30"/>
          <w:sz w:val="20"/>
        </w:rPr>
        <w:t> </w:t>
      </w:r>
      <w:r>
        <w:rPr>
          <w:color w:val="231F20"/>
          <w:sz w:val="20"/>
        </w:rPr>
        <w:t>latest</w:t>
      </w:r>
      <w:r>
        <w:rPr>
          <w:color w:val="231F20"/>
          <w:spacing w:val="30"/>
          <w:sz w:val="20"/>
        </w:rPr>
        <w:t> </w:t>
      </w:r>
      <w:r>
        <w:rPr>
          <w:color w:val="231F20"/>
          <w:sz w:val="20"/>
        </w:rPr>
        <w:t>financial</w:t>
      </w:r>
      <w:r>
        <w:rPr>
          <w:color w:val="231F20"/>
          <w:spacing w:val="29"/>
          <w:sz w:val="20"/>
        </w:rPr>
        <w:t> </w:t>
      </w:r>
      <w:r>
        <w:rPr>
          <w:color w:val="231F20"/>
          <w:sz w:val="20"/>
        </w:rPr>
        <w:t>year</w:t>
      </w:r>
      <w:r>
        <w:rPr>
          <w:color w:val="231F20"/>
          <w:spacing w:val="30"/>
          <w:sz w:val="20"/>
        </w:rPr>
        <w:t> </w:t>
      </w:r>
      <w:r>
        <w:rPr>
          <w:color w:val="231F20"/>
          <w:sz w:val="20"/>
        </w:rPr>
        <w:t>and</w:t>
      </w:r>
      <w:r>
        <w:rPr>
          <w:color w:val="231F20"/>
          <w:spacing w:val="30"/>
          <w:sz w:val="20"/>
        </w:rPr>
        <w:t> </w:t>
      </w:r>
      <w:r>
        <w:rPr>
          <w:color w:val="231F20"/>
          <w:sz w:val="20"/>
        </w:rPr>
        <w:t>the</w:t>
      </w:r>
      <w:r>
        <w:rPr>
          <w:color w:val="231F20"/>
          <w:spacing w:val="29"/>
          <w:sz w:val="20"/>
        </w:rPr>
        <w:t> </w:t>
      </w:r>
      <w:r>
        <w:rPr>
          <w:color w:val="231F20"/>
          <w:sz w:val="20"/>
        </w:rPr>
        <w:t>subsequent</w:t>
      </w:r>
      <w:r>
        <w:rPr>
          <w:color w:val="231F20"/>
          <w:spacing w:val="30"/>
          <w:sz w:val="20"/>
        </w:rPr>
        <w:t> </w:t>
      </w:r>
      <w:r>
        <w:rPr>
          <w:color w:val="231F20"/>
          <w:sz w:val="20"/>
        </w:rPr>
        <w:t>interim</w:t>
      </w:r>
      <w:r>
        <w:rPr>
          <w:color w:val="231F20"/>
          <w:spacing w:val="30"/>
          <w:sz w:val="20"/>
        </w:rPr>
        <w:t> </w:t>
      </w:r>
      <w:r>
        <w:rPr>
          <w:color w:val="231F20"/>
          <w:spacing w:val="-2"/>
          <w:sz w:val="20"/>
        </w:rPr>
        <w:t>period</w:t>
      </w:r>
    </w:p>
    <w:p>
      <w:pPr>
        <w:pStyle w:val="BodyText"/>
        <w:spacing w:before="9"/>
        <w:rPr>
          <w:sz w:val="19"/>
        </w:rPr>
      </w:pPr>
    </w:p>
    <w:p>
      <w:pPr>
        <w:pStyle w:val="BodyText"/>
        <w:spacing w:after="0"/>
        <w:rPr>
          <w:sz w:val="19"/>
        </w:rPr>
        <w:sectPr>
          <w:pgSz w:w="11910" w:h="15880"/>
          <w:pgMar w:header="567" w:footer="573" w:top="1300" w:bottom="760" w:left="1275" w:right="1275"/>
        </w:sectPr>
      </w:pPr>
    </w:p>
    <w:p>
      <w:pPr>
        <w:pStyle w:val="BodyText"/>
      </w:pPr>
    </w:p>
    <w:p>
      <w:pPr>
        <w:pStyle w:val="BodyText"/>
      </w:pPr>
    </w:p>
    <w:p>
      <w:pPr>
        <w:pStyle w:val="BodyText"/>
      </w:pPr>
    </w:p>
    <w:p>
      <w:pPr>
        <w:pStyle w:val="BodyText"/>
      </w:pPr>
    </w:p>
    <w:p>
      <w:pPr>
        <w:pStyle w:val="BodyText"/>
      </w:pPr>
    </w:p>
    <w:p>
      <w:pPr>
        <w:pStyle w:val="BodyText"/>
      </w:pPr>
    </w:p>
    <w:p>
      <w:pPr>
        <w:pStyle w:val="BodyText"/>
        <w:spacing w:before="172"/>
      </w:pPr>
    </w:p>
    <w:p>
      <w:pPr>
        <w:spacing w:before="0"/>
        <w:ind w:left="0" w:right="38" w:firstLine="0"/>
        <w:jc w:val="right"/>
        <w:rPr>
          <w:b/>
          <w:sz w:val="20"/>
        </w:rPr>
      </w:pPr>
      <w:r>
        <w:rPr>
          <w:b/>
          <w:color w:val="231F20"/>
          <w:spacing w:val="-2"/>
          <w:sz w:val="20"/>
        </w:rPr>
        <w:t>Items</w:t>
      </w:r>
    </w:p>
    <w:p>
      <w:pPr>
        <w:spacing w:line="240" w:lineRule="auto" w:before="152"/>
        <w:rPr>
          <w:b/>
          <w:sz w:val="20"/>
        </w:rPr>
      </w:pPr>
      <w:r>
        <w:rPr/>
        <w:br w:type="column"/>
      </w:r>
      <w:r>
        <w:rPr>
          <w:b/>
          <w:sz w:val="20"/>
        </w:rPr>
      </w:r>
    </w:p>
    <w:p>
      <w:pPr>
        <w:spacing w:line="292" w:lineRule="auto" w:before="0"/>
        <w:ind w:left="2410" w:right="64" w:firstLine="839"/>
        <w:jc w:val="right"/>
        <w:rPr>
          <w:b/>
          <w:sz w:val="20"/>
        </w:rPr>
      </w:pPr>
      <w:r>
        <w:rPr>
          <w:b/>
          <w:color w:val="231F20"/>
          <w:sz w:val="20"/>
        </w:rPr>
        <w:t>As</w:t>
      </w:r>
      <w:r>
        <w:rPr>
          <w:b/>
          <w:color w:val="231F20"/>
          <w:spacing w:val="-11"/>
          <w:sz w:val="20"/>
        </w:rPr>
        <w:t> </w:t>
      </w:r>
      <w:r>
        <w:rPr>
          <w:b/>
          <w:color w:val="231F20"/>
          <w:sz w:val="20"/>
        </w:rPr>
        <w:t>at June 30, 2025/ For the period from January to June 2025</w:t>
      </w:r>
    </w:p>
    <w:p>
      <w:pPr>
        <w:spacing w:line="227" w:lineRule="exact" w:before="0"/>
        <w:ind w:left="0" w:right="0" w:firstLine="0"/>
        <w:jc w:val="right"/>
        <w:rPr>
          <w:b/>
          <w:sz w:val="20"/>
        </w:rPr>
      </w:pPr>
      <w:r>
        <w:rPr>
          <w:b/>
          <w:color w:val="231F20"/>
          <w:spacing w:val="-2"/>
          <w:sz w:val="20"/>
        </w:rPr>
        <w:t>(Unaudited)</w:t>
      </w:r>
    </w:p>
    <w:p>
      <w:pPr>
        <w:spacing w:line="292" w:lineRule="auto" w:before="102"/>
        <w:ind w:left="146" w:right="135" w:firstLine="983"/>
        <w:jc w:val="right"/>
        <w:rPr>
          <w:b/>
          <w:sz w:val="20"/>
        </w:rPr>
      </w:pPr>
      <w:r>
        <w:rPr/>
        <w:br w:type="column"/>
      </w:r>
      <w:r>
        <w:rPr>
          <w:b/>
          <w:color w:val="231F20"/>
          <w:sz w:val="20"/>
        </w:rPr>
        <w:t>As</w:t>
      </w:r>
      <w:r>
        <w:rPr>
          <w:b/>
          <w:color w:val="231F20"/>
          <w:spacing w:val="-8"/>
          <w:sz w:val="20"/>
        </w:rPr>
        <w:t> </w:t>
      </w:r>
      <w:r>
        <w:rPr>
          <w:b/>
          <w:color w:val="231F20"/>
          <w:sz w:val="20"/>
        </w:rPr>
        <w:t>at December 31, 2024/For period from</w:t>
      </w:r>
      <w:r>
        <w:rPr>
          <w:b/>
          <w:color w:val="231F20"/>
          <w:spacing w:val="29"/>
          <w:sz w:val="20"/>
        </w:rPr>
        <w:t> </w:t>
      </w:r>
      <w:r>
        <w:rPr>
          <w:b/>
          <w:color w:val="231F20"/>
          <w:sz w:val="20"/>
        </w:rPr>
        <w:t>January</w:t>
      </w:r>
      <w:r>
        <w:rPr>
          <w:b/>
          <w:color w:val="231F20"/>
          <w:spacing w:val="80"/>
          <w:sz w:val="20"/>
        </w:rPr>
        <w:t> </w:t>
      </w:r>
      <w:r>
        <w:rPr>
          <w:b/>
          <w:color w:val="231F20"/>
          <w:sz w:val="20"/>
        </w:rPr>
        <w:t>to December</w:t>
      </w:r>
    </w:p>
    <w:p>
      <w:pPr>
        <w:spacing w:line="227" w:lineRule="exact" w:before="0"/>
        <w:ind w:left="0" w:right="135" w:firstLine="0"/>
        <w:jc w:val="right"/>
        <w:rPr>
          <w:b/>
          <w:sz w:val="20"/>
        </w:rPr>
      </w:pPr>
      <w:r>
        <w:rPr>
          <w:b/>
          <w:color w:val="231F20"/>
          <w:spacing w:val="-4"/>
          <w:sz w:val="20"/>
        </w:rPr>
        <w:t>2024</w:t>
      </w:r>
    </w:p>
    <w:p>
      <w:pPr>
        <w:spacing w:before="50"/>
        <w:ind w:left="0" w:right="68" w:firstLine="0"/>
        <w:jc w:val="right"/>
        <w:rPr>
          <w:b/>
          <w:sz w:val="20"/>
        </w:rPr>
      </w:pPr>
      <w:r>
        <w:rPr>
          <w:b/>
          <w:color w:val="231F20"/>
          <w:spacing w:val="-2"/>
          <w:sz w:val="20"/>
        </w:rPr>
        <w:t>(Audited)</w:t>
      </w:r>
    </w:p>
    <w:p>
      <w:pPr>
        <w:spacing w:after="0"/>
        <w:jc w:val="right"/>
        <w:rPr>
          <w:b/>
          <w:sz w:val="20"/>
        </w:rPr>
        <w:sectPr>
          <w:type w:val="continuous"/>
          <w:pgSz w:w="11910" w:h="15880"/>
          <w:pgMar w:header="567" w:footer="573" w:top="1300" w:bottom="280" w:left="1275" w:right="1275"/>
          <w:cols w:num="3" w:equalWidth="0">
            <w:col w:w="2953" w:space="851"/>
            <w:col w:w="3780" w:space="40"/>
            <w:col w:w="1736"/>
          </w:cols>
        </w:sectPr>
      </w:pPr>
    </w:p>
    <w:p>
      <w:pPr>
        <w:pStyle w:val="Heading4"/>
        <w:tabs>
          <w:tab w:pos="1700" w:val="left" w:leader="none"/>
        </w:tabs>
        <w:rPr>
          <w:i/>
        </w:rPr>
      </w:pPr>
      <w:r>
        <w:rPr>
          <w:i/>
          <w:color w:val="231F20"/>
          <w:spacing w:val="-2"/>
          <w:w w:val="105"/>
        </w:rPr>
        <w:t>(RMB)</w:t>
      </w:r>
      <w:r>
        <w:rPr>
          <w:i/>
          <w:color w:val="231F20"/>
        </w:rPr>
        <w:tab/>
      </w:r>
      <w:r>
        <w:rPr>
          <w:i/>
          <w:color w:val="231F20"/>
          <w:spacing w:val="-2"/>
          <w:w w:val="105"/>
        </w:rPr>
        <w:t>(RMB)</w:t>
      </w:r>
    </w:p>
    <w:p>
      <w:pPr>
        <w:pStyle w:val="BodyText"/>
        <w:spacing w:before="100"/>
        <w:rPr>
          <w:b/>
          <w:i/>
        </w:rPr>
      </w:pPr>
    </w:p>
    <w:p>
      <w:pPr>
        <w:pStyle w:val="BodyText"/>
        <w:tabs>
          <w:tab w:pos="6302" w:val="left" w:leader="none"/>
          <w:tab w:pos="8003" w:val="left" w:leader="none"/>
        </w:tabs>
        <w:ind w:left="2410"/>
      </w:pPr>
      <w:r>
        <w:rPr>
          <w:color w:val="231F20"/>
        </w:rPr>
        <w:t>Total</w:t>
      </w:r>
      <w:r>
        <w:rPr>
          <w:color w:val="231F20"/>
          <w:spacing w:val="30"/>
        </w:rPr>
        <w:t> </w:t>
      </w:r>
      <w:r>
        <w:rPr>
          <w:color w:val="231F20"/>
          <w:spacing w:val="-2"/>
        </w:rPr>
        <w:t>assets</w:t>
      </w:r>
      <w:r>
        <w:rPr>
          <w:color w:val="231F20"/>
        </w:rPr>
        <w:tab/>
      </w:r>
      <w:r>
        <w:rPr>
          <w:color w:val="231F20"/>
          <w:spacing w:val="-2"/>
        </w:rPr>
        <w:t>55,159,068.64</w:t>
      </w:r>
      <w:r>
        <w:rPr>
          <w:color w:val="231F20"/>
        </w:rPr>
        <w:tab/>
      </w:r>
      <w:r>
        <w:rPr>
          <w:color w:val="231F20"/>
          <w:spacing w:val="-2"/>
        </w:rPr>
        <w:t>59,942,979.66</w:t>
      </w:r>
    </w:p>
    <w:p>
      <w:pPr>
        <w:pStyle w:val="BodyText"/>
        <w:tabs>
          <w:tab w:pos="6302" w:val="left" w:leader="none"/>
          <w:tab w:pos="8003" w:val="left" w:leader="none"/>
        </w:tabs>
        <w:spacing w:before="50"/>
        <w:ind w:left="2410"/>
      </w:pPr>
      <w:r>
        <w:rPr>
          <w:color w:val="231F20"/>
        </w:rPr>
        <w:t>Total</w:t>
      </w:r>
      <w:r>
        <w:rPr>
          <w:color w:val="231F20"/>
          <w:spacing w:val="30"/>
        </w:rPr>
        <w:t> </w:t>
      </w:r>
      <w:r>
        <w:rPr>
          <w:color w:val="231F20"/>
          <w:spacing w:val="-2"/>
        </w:rPr>
        <w:t>liabilities</w:t>
      </w:r>
      <w:r>
        <w:rPr>
          <w:color w:val="231F20"/>
        </w:rPr>
        <w:tab/>
      </w:r>
      <w:r>
        <w:rPr>
          <w:color w:val="231F20"/>
          <w:spacing w:val="-2"/>
        </w:rPr>
        <w:t>31,449,789.72</w:t>
      </w:r>
      <w:r>
        <w:rPr>
          <w:color w:val="231F20"/>
        </w:rPr>
        <w:tab/>
      </w:r>
      <w:r>
        <w:rPr>
          <w:color w:val="231F20"/>
          <w:spacing w:val="-2"/>
        </w:rPr>
        <w:t>38,310,558.76</w:t>
      </w:r>
    </w:p>
    <w:p>
      <w:pPr>
        <w:pStyle w:val="BodyText"/>
        <w:tabs>
          <w:tab w:pos="6302" w:val="left" w:leader="none"/>
          <w:tab w:pos="8003" w:val="left" w:leader="none"/>
        </w:tabs>
        <w:spacing w:before="50"/>
        <w:ind w:left="2410"/>
      </w:pPr>
      <w:r>
        <w:rPr>
          <w:color w:val="231F20"/>
        </w:rPr>
        <w:t>Net</w:t>
      </w:r>
      <w:r>
        <w:rPr>
          <w:color w:val="231F20"/>
          <w:spacing w:val="20"/>
        </w:rPr>
        <w:t> </w:t>
      </w:r>
      <w:r>
        <w:rPr>
          <w:color w:val="231F20"/>
          <w:spacing w:val="-2"/>
        </w:rPr>
        <w:t>assets</w:t>
      </w:r>
      <w:r>
        <w:rPr>
          <w:color w:val="231F20"/>
        </w:rPr>
        <w:tab/>
      </w:r>
      <w:r>
        <w:rPr>
          <w:color w:val="231F20"/>
          <w:spacing w:val="-2"/>
        </w:rPr>
        <w:t>23,709,278.92</w:t>
      </w:r>
      <w:r>
        <w:rPr>
          <w:color w:val="231F20"/>
        </w:rPr>
        <w:tab/>
      </w:r>
      <w:r>
        <w:rPr>
          <w:color w:val="231F20"/>
          <w:spacing w:val="-2"/>
        </w:rPr>
        <w:t>21,632,420.90</w:t>
      </w:r>
    </w:p>
    <w:p>
      <w:pPr>
        <w:pStyle w:val="BodyText"/>
        <w:tabs>
          <w:tab w:pos="6302" w:val="left" w:leader="none"/>
          <w:tab w:pos="7898" w:val="left" w:leader="none"/>
        </w:tabs>
        <w:spacing w:before="50"/>
        <w:ind w:left="2410"/>
      </w:pPr>
      <w:r>
        <w:rPr>
          <w:color w:val="231F20"/>
        </w:rPr>
        <w:t>Operating</w:t>
      </w:r>
      <w:r>
        <w:rPr>
          <w:color w:val="231F20"/>
          <w:spacing w:val="50"/>
        </w:rPr>
        <w:t> </w:t>
      </w:r>
      <w:r>
        <w:rPr>
          <w:color w:val="231F20"/>
          <w:spacing w:val="-2"/>
        </w:rPr>
        <w:t>revenue</w:t>
      </w:r>
      <w:r>
        <w:rPr>
          <w:color w:val="231F20"/>
        </w:rPr>
        <w:tab/>
      </w:r>
      <w:r>
        <w:rPr>
          <w:color w:val="231F20"/>
          <w:spacing w:val="-2"/>
        </w:rPr>
        <w:t>59,235,204.60</w:t>
      </w:r>
      <w:r>
        <w:rPr>
          <w:color w:val="231F20"/>
        </w:rPr>
        <w:tab/>
      </w:r>
      <w:r>
        <w:rPr>
          <w:color w:val="231F20"/>
          <w:spacing w:val="-2"/>
        </w:rPr>
        <w:t>103,708,510.08</w:t>
      </w:r>
    </w:p>
    <w:p>
      <w:pPr>
        <w:pStyle w:val="BodyText"/>
        <w:tabs>
          <w:tab w:pos="6407" w:val="left" w:leader="none"/>
          <w:tab w:pos="8036" w:val="left" w:leader="none"/>
        </w:tabs>
        <w:spacing w:before="50"/>
        <w:ind w:left="2410"/>
      </w:pPr>
      <w:r>
        <w:rPr>
          <w:color w:val="231F20"/>
        </w:rPr>
        <w:t>Total</w:t>
      </w:r>
      <w:r>
        <w:rPr>
          <w:color w:val="231F20"/>
          <w:spacing w:val="30"/>
        </w:rPr>
        <w:t> </w:t>
      </w:r>
      <w:r>
        <w:rPr>
          <w:color w:val="231F20"/>
          <w:spacing w:val="-2"/>
        </w:rPr>
        <w:t>profit</w:t>
      </w:r>
      <w:r>
        <w:rPr>
          <w:color w:val="231F20"/>
        </w:rPr>
        <w:tab/>
      </w:r>
      <w:r>
        <w:rPr>
          <w:color w:val="231F20"/>
          <w:spacing w:val="-2"/>
        </w:rPr>
        <w:t>2,075,543.36</w:t>
      </w:r>
      <w:r>
        <w:rPr>
          <w:color w:val="231F20"/>
        </w:rPr>
        <w:tab/>
        <w:t>-</w:t>
      </w:r>
      <w:r>
        <w:rPr>
          <w:color w:val="231F20"/>
          <w:spacing w:val="-2"/>
        </w:rPr>
        <w:t>2,502,355.22</w:t>
      </w:r>
    </w:p>
    <w:p>
      <w:pPr>
        <w:pStyle w:val="BodyText"/>
        <w:tabs>
          <w:tab w:pos="6407" w:val="left" w:leader="none"/>
          <w:tab w:pos="8036" w:val="left" w:leader="none"/>
        </w:tabs>
        <w:spacing w:before="50"/>
        <w:ind w:left="2410"/>
      </w:pPr>
      <w:r>
        <w:rPr>
          <w:color w:val="231F20"/>
        </w:rPr>
        <w:t>Net</w:t>
      </w:r>
      <w:r>
        <w:rPr>
          <w:color w:val="231F20"/>
          <w:spacing w:val="20"/>
        </w:rPr>
        <w:t> </w:t>
      </w:r>
      <w:r>
        <w:rPr>
          <w:color w:val="231F20"/>
          <w:spacing w:val="-2"/>
        </w:rPr>
        <w:t>profit</w:t>
      </w:r>
      <w:r>
        <w:rPr>
          <w:color w:val="231F20"/>
        </w:rPr>
        <w:tab/>
      </w:r>
      <w:r>
        <w:rPr>
          <w:color w:val="231F20"/>
          <w:spacing w:val="-2"/>
        </w:rPr>
        <w:t>2,076,858.02</w:t>
      </w:r>
      <w:r>
        <w:rPr>
          <w:color w:val="231F20"/>
        </w:rPr>
        <w:tab/>
        <w:t>-</w:t>
      </w:r>
      <w:r>
        <w:rPr>
          <w:color w:val="231F20"/>
          <w:spacing w:val="-2"/>
        </w:rPr>
        <w:t>2,867,952.33</w:t>
      </w:r>
    </w:p>
    <w:p>
      <w:pPr>
        <w:pStyle w:val="BodyText"/>
        <w:spacing w:before="100"/>
      </w:pPr>
    </w:p>
    <w:p>
      <w:pPr>
        <w:pStyle w:val="ListParagraph"/>
        <w:numPr>
          <w:ilvl w:val="1"/>
          <w:numId w:val="8"/>
        </w:numPr>
        <w:tabs>
          <w:tab w:pos="2410" w:val="left" w:leader="none"/>
        </w:tabs>
        <w:spacing w:line="240" w:lineRule="auto" w:before="0" w:after="0"/>
        <w:ind w:left="2410" w:right="0" w:hanging="567"/>
        <w:jc w:val="left"/>
        <w:rPr>
          <w:sz w:val="20"/>
        </w:rPr>
      </w:pPr>
      <w:r>
        <w:rPr>
          <w:color w:val="231F20"/>
          <w:sz w:val="20"/>
        </w:rPr>
        <w:t>Credit</w:t>
      </w:r>
      <w:r>
        <w:rPr>
          <w:color w:val="231F20"/>
          <w:spacing w:val="33"/>
          <w:sz w:val="20"/>
        </w:rPr>
        <w:t> </w:t>
      </w:r>
      <w:r>
        <w:rPr>
          <w:color w:val="231F20"/>
          <w:sz w:val="20"/>
        </w:rPr>
        <w:t>rating:</w:t>
      </w:r>
      <w:r>
        <w:rPr>
          <w:color w:val="231F20"/>
          <w:spacing w:val="34"/>
          <w:sz w:val="20"/>
        </w:rPr>
        <w:t> </w:t>
      </w:r>
      <w:r>
        <w:rPr>
          <w:color w:val="231F20"/>
          <w:sz w:val="20"/>
        </w:rPr>
        <w:t>No</w:t>
      </w:r>
      <w:r>
        <w:rPr>
          <w:color w:val="231F20"/>
          <w:spacing w:val="33"/>
          <w:sz w:val="20"/>
        </w:rPr>
        <w:t> </w:t>
      </w:r>
      <w:r>
        <w:rPr>
          <w:color w:val="231F20"/>
          <w:sz w:val="20"/>
        </w:rPr>
        <w:t>external</w:t>
      </w:r>
      <w:r>
        <w:rPr>
          <w:color w:val="231F20"/>
          <w:spacing w:val="34"/>
          <w:sz w:val="20"/>
        </w:rPr>
        <w:t> </w:t>
      </w:r>
      <w:r>
        <w:rPr>
          <w:color w:val="231F20"/>
          <w:sz w:val="20"/>
        </w:rPr>
        <w:t>credit</w:t>
      </w:r>
      <w:r>
        <w:rPr>
          <w:color w:val="231F20"/>
          <w:spacing w:val="33"/>
          <w:sz w:val="20"/>
        </w:rPr>
        <w:t> </w:t>
      </w:r>
      <w:r>
        <w:rPr>
          <w:color w:val="231F20"/>
          <w:spacing w:val="-2"/>
          <w:sz w:val="20"/>
        </w:rPr>
        <w:t>rating</w:t>
      </w:r>
    </w:p>
    <w:p>
      <w:pPr>
        <w:pStyle w:val="BodyText"/>
        <w:spacing w:before="100"/>
      </w:pPr>
    </w:p>
    <w:p>
      <w:pPr>
        <w:pStyle w:val="BodyText"/>
        <w:ind w:left="2410"/>
      </w:pPr>
      <w:r>
        <w:rPr>
          <w:color w:val="231F20"/>
        </w:rPr>
        <w:t>Upon</w:t>
      </w:r>
      <w:r>
        <w:rPr>
          <w:color w:val="231F20"/>
          <w:spacing w:val="20"/>
        </w:rPr>
        <w:t> </w:t>
      </w:r>
      <w:r>
        <w:rPr>
          <w:color w:val="231F20"/>
        </w:rPr>
        <w:t>verification,</w:t>
      </w:r>
      <w:r>
        <w:rPr>
          <w:color w:val="231F20"/>
          <w:spacing w:val="21"/>
        </w:rPr>
        <w:t> </w:t>
      </w:r>
      <w:r>
        <w:rPr>
          <w:color w:val="231F20"/>
        </w:rPr>
        <w:t>Huanggang</w:t>
      </w:r>
      <w:r>
        <w:rPr>
          <w:color w:val="231F20"/>
          <w:spacing w:val="21"/>
        </w:rPr>
        <w:t> </w:t>
      </w:r>
      <w:r>
        <w:rPr>
          <w:color w:val="231F20"/>
        </w:rPr>
        <w:t>Jihong</w:t>
      </w:r>
      <w:r>
        <w:rPr>
          <w:color w:val="231F20"/>
          <w:spacing w:val="22"/>
        </w:rPr>
        <w:t> </w:t>
      </w:r>
      <w:r>
        <w:rPr>
          <w:color w:val="231F20"/>
        </w:rPr>
        <w:t>is</w:t>
      </w:r>
      <w:r>
        <w:rPr>
          <w:color w:val="231F20"/>
          <w:spacing w:val="21"/>
        </w:rPr>
        <w:t> </w:t>
      </w:r>
      <w:r>
        <w:rPr>
          <w:color w:val="231F20"/>
        </w:rPr>
        <w:t>not</w:t>
      </w:r>
      <w:r>
        <w:rPr>
          <w:color w:val="231F20"/>
          <w:spacing w:val="21"/>
        </w:rPr>
        <w:t> </w:t>
      </w:r>
      <w:r>
        <w:rPr>
          <w:color w:val="231F20"/>
        </w:rPr>
        <w:t>an</w:t>
      </w:r>
      <w:r>
        <w:rPr>
          <w:color w:val="231F20"/>
          <w:spacing w:val="21"/>
        </w:rPr>
        <w:t> </w:t>
      </w:r>
      <w:r>
        <w:rPr>
          <w:color w:val="231F20"/>
        </w:rPr>
        <w:t>untrustworthy</w:t>
      </w:r>
      <w:r>
        <w:rPr>
          <w:color w:val="231F20"/>
          <w:spacing w:val="21"/>
        </w:rPr>
        <w:t> </w:t>
      </w:r>
      <w:r>
        <w:rPr>
          <w:color w:val="231F20"/>
        </w:rPr>
        <w:t>judgment</w:t>
      </w:r>
      <w:r>
        <w:rPr>
          <w:color w:val="231F20"/>
          <w:spacing w:val="22"/>
        </w:rPr>
        <w:t> </w:t>
      </w:r>
      <w:r>
        <w:rPr>
          <w:color w:val="231F20"/>
          <w:spacing w:val="-2"/>
        </w:rPr>
        <w:t>defaulter.</w:t>
      </w:r>
    </w:p>
    <w:p>
      <w:pPr>
        <w:pStyle w:val="BodyText"/>
        <w:spacing w:after="0"/>
        <w:sectPr>
          <w:type w:val="continuous"/>
          <w:pgSz w:w="11910" w:h="15880"/>
          <w:pgMar w:header="567" w:footer="573" w:top="1300" w:bottom="280" w:left="1275" w:right="1275"/>
        </w:sectPr>
      </w:pPr>
    </w:p>
    <w:p>
      <w:pPr>
        <w:pStyle w:val="BodyText"/>
        <w:spacing w:before="93"/>
      </w:pPr>
    </w:p>
    <w:p>
      <w:pPr>
        <w:pStyle w:val="Heading5"/>
        <w:numPr>
          <w:ilvl w:val="0"/>
          <w:numId w:val="8"/>
        </w:numPr>
        <w:tabs>
          <w:tab w:pos="1843" w:val="left" w:leader="none"/>
        </w:tabs>
        <w:spacing w:line="240" w:lineRule="auto" w:before="0" w:after="0"/>
        <w:ind w:left="1843" w:right="0" w:hanging="567"/>
        <w:jc w:val="left"/>
        <w:rPr>
          <w:i/>
        </w:rPr>
      </w:pPr>
      <w:r>
        <w:rPr>
          <w:i/>
          <w:color w:val="231F20"/>
        </w:rPr>
        <w:t>Luanzhou</w:t>
      </w:r>
      <w:r>
        <w:rPr>
          <w:i/>
          <w:color w:val="231F20"/>
          <w:spacing w:val="74"/>
        </w:rPr>
        <w:t> </w:t>
      </w:r>
      <w:r>
        <w:rPr>
          <w:i/>
          <w:color w:val="231F20"/>
        </w:rPr>
        <w:t>Jihong</w:t>
      </w:r>
      <w:r>
        <w:rPr>
          <w:i/>
          <w:color w:val="231F20"/>
          <w:spacing w:val="75"/>
        </w:rPr>
        <w:t> </w:t>
      </w:r>
      <w:r>
        <w:rPr>
          <w:i/>
          <w:color w:val="231F20"/>
        </w:rPr>
        <w:t>Packaging</w:t>
      </w:r>
      <w:r>
        <w:rPr>
          <w:i/>
          <w:color w:val="231F20"/>
          <w:spacing w:val="75"/>
        </w:rPr>
        <w:t> </w:t>
      </w:r>
      <w:r>
        <w:rPr>
          <w:i/>
          <w:color w:val="231F20"/>
        </w:rPr>
        <w:t>Limited*</w:t>
      </w:r>
      <w:r>
        <w:rPr>
          <w:i/>
          <w:color w:val="231F20"/>
          <w:spacing w:val="37"/>
        </w:rPr>
        <w:t> (</w:t>
      </w:r>
      <w:r>
        <w:rPr>
          <w:rFonts w:ascii="Microsoft YaHei" w:eastAsia="Microsoft YaHei"/>
          <w:color w:val="231F20"/>
        </w:rPr>
        <w:t>灤州吉宏包裝有限公司</w:t>
      </w:r>
      <w:r>
        <w:rPr>
          <w:i/>
          <w:color w:val="231F20"/>
          <w:spacing w:val="-10"/>
        </w:rPr>
        <w:t>)</w:t>
      </w:r>
    </w:p>
    <w:p>
      <w:pPr>
        <w:pStyle w:val="BodyText"/>
        <w:spacing w:before="38"/>
        <w:rPr>
          <w:b/>
          <w:i/>
        </w:rPr>
      </w:pPr>
    </w:p>
    <w:p>
      <w:pPr>
        <w:pStyle w:val="ListParagraph"/>
        <w:numPr>
          <w:ilvl w:val="1"/>
          <w:numId w:val="8"/>
        </w:numPr>
        <w:tabs>
          <w:tab w:pos="2409" w:val="left" w:leader="none"/>
        </w:tabs>
        <w:spacing w:line="240" w:lineRule="auto" w:before="1" w:after="0"/>
        <w:ind w:left="2409" w:right="0" w:hanging="566"/>
        <w:jc w:val="left"/>
        <w:rPr>
          <w:sz w:val="20"/>
        </w:rPr>
      </w:pPr>
      <w:r>
        <w:rPr>
          <w:color w:val="231F20"/>
          <w:sz w:val="20"/>
        </w:rPr>
        <w:t>Company</w:t>
      </w:r>
      <w:r>
        <w:rPr>
          <w:color w:val="231F20"/>
          <w:spacing w:val="28"/>
          <w:sz w:val="20"/>
        </w:rPr>
        <w:t> </w:t>
      </w:r>
      <w:r>
        <w:rPr>
          <w:color w:val="231F20"/>
          <w:sz w:val="20"/>
        </w:rPr>
        <w:t>name</w:t>
      </w:r>
      <w:r>
        <w:rPr>
          <w:color w:val="231F20"/>
          <w:spacing w:val="15"/>
          <w:sz w:val="20"/>
        </w:rPr>
        <w:t>: </w:t>
      </w:r>
      <w:r>
        <w:rPr>
          <w:color w:val="231F20"/>
          <w:sz w:val="20"/>
        </w:rPr>
        <w:t>Luanzhou</w:t>
      </w:r>
      <w:r>
        <w:rPr>
          <w:color w:val="231F20"/>
          <w:spacing w:val="30"/>
          <w:sz w:val="20"/>
        </w:rPr>
        <w:t> </w:t>
      </w:r>
      <w:r>
        <w:rPr>
          <w:color w:val="231F20"/>
          <w:sz w:val="20"/>
        </w:rPr>
        <w:t>Jihong</w:t>
      </w:r>
      <w:r>
        <w:rPr>
          <w:color w:val="231F20"/>
          <w:spacing w:val="30"/>
          <w:sz w:val="20"/>
        </w:rPr>
        <w:t> </w:t>
      </w:r>
      <w:r>
        <w:rPr>
          <w:color w:val="231F20"/>
          <w:sz w:val="20"/>
        </w:rPr>
        <w:t>Packaging</w:t>
      </w:r>
      <w:r>
        <w:rPr>
          <w:color w:val="231F20"/>
          <w:spacing w:val="30"/>
          <w:sz w:val="20"/>
        </w:rPr>
        <w:t> </w:t>
      </w:r>
      <w:r>
        <w:rPr>
          <w:color w:val="231F20"/>
          <w:sz w:val="20"/>
        </w:rPr>
        <w:t>Limited*</w:t>
      </w:r>
      <w:r>
        <w:rPr>
          <w:color w:val="231F20"/>
          <w:spacing w:val="15"/>
          <w:sz w:val="20"/>
        </w:rPr>
        <w:t> (</w:t>
      </w:r>
      <w:r>
        <w:rPr>
          <w:rFonts w:ascii="新細明體" w:eastAsia="新細明體"/>
          <w:color w:val="231F20"/>
          <w:sz w:val="20"/>
        </w:rPr>
        <w:t>灤州吉宏包裝有限公司</w:t>
      </w:r>
      <w:r>
        <w:rPr>
          <w:color w:val="231F20"/>
          <w:spacing w:val="-10"/>
          <w:sz w:val="20"/>
        </w:rPr>
        <w:t>)</w:t>
      </w:r>
    </w:p>
    <w:p>
      <w:pPr>
        <w:pStyle w:val="BodyText"/>
        <w:spacing w:before="63"/>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Date</w:t>
      </w:r>
      <w:r>
        <w:rPr>
          <w:color w:val="231F20"/>
          <w:spacing w:val="35"/>
          <w:sz w:val="20"/>
        </w:rPr>
        <w:t> </w:t>
      </w:r>
      <w:r>
        <w:rPr>
          <w:color w:val="231F20"/>
          <w:sz w:val="20"/>
        </w:rPr>
        <w:t>of</w:t>
      </w:r>
      <w:r>
        <w:rPr>
          <w:color w:val="231F20"/>
          <w:spacing w:val="35"/>
          <w:sz w:val="20"/>
        </w:rPr>
        <w:t> </w:t>
      </w:r>
      <w:r>
        <w:rPr>
          <w:color w:val="231F20"/>
          <w:sz w:val="20"/>
        </w:rPr>
        <w:t>establishment:</w:t>
      </w:r>
      <w:r>
        <w:rPr>
          <w:color w:val="231F20"/>
          <w:spacing w:val="35"/>
          <w:sz w:val="20"/>
        </w:rPr>
        <w:t> </w:t>
      </w:r>
      <w:r>
        <w:rPr>
          <w:color w:val="231F20"/>
          <w:sz w:val="20"/>
        </w:rPr>
        <w:t>January</w:t>
      </w:r>
      <w:r>
        <w:rPr>
          <w:color w:val="231F20"/>
          <w:spacing w:val="35"/>
          <w:sz w:val="20"/>
        </w:rPr>
        <w:t> </w:t>
      </w:r>
      <w:r>
        <w:rPr>
          <w:color w:val="231F20"/>
          <w:sz w:val="20"/>
        </w:rPr>
        <w:t>22,</w:t>
      </w:r>
      <w:r>
        <w:rPr>
          <w:color w:val="231F20"/>
          <w:spacing w:val="35"/>
          <w:sz w:val="20"/>
        </w:rPr>
        <w:t> </w:t>
      </w:r>
      <w:r>
        <w:rPr>
          <w:color w:val="231F20"/>
          <w:spacing w:val="-4"/>
          <w:sz w:val="20"/>
        </w:rPr>
        <w:t>2014</w:t>
      </w:r>
    </w:p>
    <w:p>
      <w:pPr>
        <w:pStyle w:val="BodyText"/>
        <w:spacing w:before="100"/>
      </w:pPr>
    </w:p>
    <w:p>
      <w:pPr>
        <w:pStyle w:val="ListParagraph"/>
        <w:numPr>
          <w:ilvl w:val="1"/>
          <w:numId w:val="8"/>
        </w:numPr>
        <w:tabs>
          <w:tab w:pos="2410" w:val="left" w:leader="none"/>
        </w:tabs>
        <w:spacing w:line="292" w:lineRule="auto" w:before="0" w:after="0"/>
        <w:ind w:left="2410" w:right="130" w:hanging="567"/>
        <w:jc w:val="both"/>
        <w:rPr>
          <w:sz w:val="20"/>
        </w:rPr>
      </w:pPr>
      <w:r>
        <w:rPr>
          <w:color w:val="231F20"/>
          <w:sz w:val="20"/>
        </w:rPr>
        <w:t>Place</w:t>
      </w:r>
      <w:r>
        <w:rPr>
          <w:color w:val="231F20"/>
          <w:spacing w:val="40"/>
          <w:sz w:val="20"/>
        </w:rPr>
        <w:t> </w:t>
      </w:r>
      <w:r>
        <w:rPr>
          <w:color w:val="231F20"/>
          <w:sz w:val="20"/>
        </w:rPr>
        <w:t>of</w:t>
      </w:r>
      <w:r>
        <w:rPr>
          <w:color w:val="231F20"/>
          <w:spacing w:val="40"/>
          <w:sz w:val="20"/>
        </w:rPr>
        <w:t> </w:t>
      </w:r>
      <w:r>
        <w:rPr>
          <w:color w:val="231F20"/>
          <w:sz w:val="20"/>
        </w:rPr>
        <w:t>registration:</w:t>
      </w:r>
      <w:r>
        <w:rPr>
          <w:color w:val="231F20"/>
          <w:spacing w:val="40"/>
          <w:sz w:val="20"/>
        </w:rPr>
        <w:t> </w:t>
      </w:r>
      <w:r>
        <w:rPr>
          <w:color w:val="231F20"/>
          <w:sz w:val="20"/>
        </w:rPr>
        <w:t>Economic</w:t>
      </w:r>
      <w:r>
        <w:rPr>
          <w:color w:val="231F20"/>
          <w:spacing w:val="40"/>
          <w:sz w:val="20"/>
        </w:rPr>
        <w:t> </w:t>
      </w:r>
      <w:r>
        <w:rPr>
          <w:color w:val="231F20"/>
          <w:sz w:val="20"/>
        </w:rPr>
        <w:t>Development</w:t>
      </w:r>
      <w:r>
        <w:rPr>
          <w:color w:val="231F20"/>
          <w:spacing w:val="40"/>
          <w:sz w:val="20"/>
        </w:rPr>
        <w:t> </w:t>
      </w:r>
      <w:r>
        <w:rPr>
          <w:color w:val="231F20"/>
          <w:sz w:val="20"/>
        </w:rPr>
        <w:t>Zone,</w:t>
      </w:r>
      <w:r>
        <w:rPr>
          <w:color w:val="231F20"/>
          <w:spacing w:val="40"/>
          <w:sz w:val="20"/>
        </w:rPr>
        <w:t> </w:t>
      </w:r>
      <w:r>
        <w:rPr>
          <w:color w:val="231F20"/>
          <w:sz w:val="20"/>
        </w:rPr>
        <w:t>Luanzhou</w:t>
      </w:r>
      <w:r>
        <w:rPr>
          <w:color w:val="231F20"/>
          <w:spacing w:val="40"/>
          <w:sz w:val="20"/>
        </w:rPr>
        <w:t> </w:t>
      </w:r>
      <w:r>
        <w:rPr>
          <w:color w:val="231F20"/>
          <w:sz w:val="20"/>
        </w:rPr>
        <w:t>City,</w:t>
      </w:r>
      <w:r>
        <w:rPr>
          <w:color w:val="231F20"/>
          <w:spacing w:val="40"/>
          <w:sz w:val="20"/>
        </w:rPr>
        <w:t> </w:t>
      </w:r>
      <w:r>
        <w:rPr>
          <w:color w:val="231F20"/>
          <w:sz w:val="20"/>
        </w:rPr>
        <w:t>Tangshan City,</w:t>
      </w:r>
      <w:r>
        <w:rPr>
          <w:color w:val="231F20"/>
          <w:spacing w:val="40"/>
          <w:sz w:val="20"/>
        </w:rPr>
        <w:t> </w:t>
      </w:r>
      <w:r>
        <w:rPr>
          <w:color w:val="231F20"/>
          <w:sz w:val="20"/>
        </w:rPr>
        <w:t>Hebei</w:t>
      </w:r>
      <w:r>
        <w:rPr>
          <w:color w:val="231F20"/>
          <w:spacing w:val="40"/>
          <w:sz w:val="20"/>
        </w:rPr>
        <w:t> </w:t>
      </w:r>
      <w:r>
        <w:rPr>
          <w:color w:val="231F20"/>
          <w:sz w:val="20"/>
        </w:rPr>
        <w:t>Province</w:t>
      </w:r>
      <w:r>
        <w:rPr>
          <w:color w:val="231F20"/>
          <w:spacing w:val="40"/>
          <w:sz w:val="20"/>
        </w:rPr>
        <w:t> </w:t>
      </w:r>
      <w:r>
        <w:rPr>
          <w:color w:val="231F20"/>
          <w:sz w:val="20"/>
        </w:rPr>
        <w:t>(No.</w:t>
      </w:r>
      <w:r>
        <w:rPr>
          <w:color w:val="231F20"/>
          <w:spacing w:val="40"/>
          <w:sz w:val="20"/>
        </w:rPr>
        <w:t> </w:t>
      </w:r>
      <w:r>
        <w:rPr>
          <w:color w:val="231F20"/>
          <w:sz w:val="20"/>
        </w:rPr>
        <w:t>9</w:t>
      </w:r>
      <w:r>
        <w:rPr>
          <w:color w:val="231F20"/>
          <w:spacing w:val="40"/>
          <w:sz w:val="20"/>
        </w:rPr>
        <w:t> </w:t>
      </w:r>
      <w:r>
        <w:rPr>
          <w:color w:val="231F20"/>
          <w:sz w:val="20"/>
        </w:rPr>
        <w:t>Alishan</w:t>
      </w:r>
      <w:r>
        <w:rPr>
          <w:color w:val="231F20"/>
          <w:spacing w:val="40"/>
          <w:sz w:val="20"/>
        </w:rPr>
        <w:t> </w:t>
      </w:r>
      <w:r>
        <w:rPr>
          <w:color w:val="231F20"/>
          <w:sz w:val="20"/>
        </w:rPr>
        <w:t>Street)</w:t>
      </w:r>
    </w:p>
    <w:p>
      <w:pPr>
        <w:pStyle w:val="BodyText"/>
        <w:spacing w:before="49"/>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Registered</w:t>
      </w:r>
      <w:r>
        <w:rPr>
          <w:color w:val="231F20"/>
          <w:spacing w:val="43"/>
          <w:sz w:val="20"/>
        </w:rPr>
        <w:t> </w:t>
      </w:r>
      <w:r>
        <w:rPr>
          <w:color w:val="231F20"/>
          <w:sz w:val="20"/>
        </w:rPr>
        <w:t>capital:</w:t>
      </w:r>
      <w:r>
        <w:rPr>
          <w:color w:val="231F20"/>
          <w:spacing w:val="43"/>
          <w:sz w:val="20"/>
        </w:rPr>
        <w:t> </w:t>
      </w:r>
      <w:r>
        <w:rPr>
          <w:color w:val="231F20"/>
          <w:sz w:val="20"/>
        </w:rPr>
        <w:t>RMB20</w:t>
      </w:r>
      <w:r>
        <w:rPr>
          <w:color w:val="231F20"/>
          <w:spacing w:val="44"/>
          <w:sz w:val="20"/>
        </w:rPr>
        <w:t> </w:t>
      </w:r>
      <w:r>
        <w:rPr>
          <w:color w:val="231F20"/>
          <w:spacing w:val="-2"/>
          <w:sz w:val="20"/>
        </w:rPr>
        <w:t>million</w:t>
      </w:r>
    </w:p>
    <w:p>
      <w:pPr>
        <w:pStyle w:val="BodyText"/>
        <w:spacing w:before="100"/>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Legal</w:t>
      </w:r>
      <w:r>
        <w:rPr>
          <w:color w:val="231F20"/>
          <w:spacing w:val="46"/>
          <w:sz w:val="20"/>
        </w:rPr>
        <w:t> </w:t>
      </w:r>
      <w:r>
        <w:rPr>
          <w:color w:val="231F20"/>
          <w:sz w:val="20"/>
        </w:rPr>
        <w:t>representative:</w:t>
      </w:r>
      <w:r>
        <w:rPr>
          <w:color w:val="231F20"/>
          <w:spacing w:val="47"/>
          <w:sz w:val="20"/>
        </w:rPr>
        <w:t> </w:t>
      </w:r>
      <w:r>
        <w:rPr>
          <w:color w:val="231F20"/>
          <w:sz w:val="20"/>
        </w:rPr>
        <w:t>Zhang</w:t>
      </w:r>
      <w:r>
        <w:rPr>
          <w:color w:val="231F20"/>
          <w:spacing w:val="47"/>
          <w:sz w:val="20"/>
        </w:rPr>
        <w:t> </w:t>
      </w:r>
      <w:r>
        <w:rPr>
          <w:color w:val="231F20"/>
          <w:spacing w:val="-2"/>
          <w:sz w:val="20"/>
        </w:rPr>
        <w:t>Heping</w:t>
      </w:r>
    </w:p>
    <w:p>
      <w:pPr>
        <w:pStyle w:val="BodyText"/>
        <w:spacing w:before="100"/>
      </w:pPr>
    </w:p>
    <w:p>
      <w:pPr>
        <w:pStyle w:val="ListParagraph"/>
        <w:numPr>
          <w:ilvl w:val="1"/>
          <w:numId w:val="8"/>
        </w:numPr>
        <w:tabs>
          <w:tab w:pos="2410" w:val="left" w:leader="none"/>
        </w:tabs>
        <w:spacing w:line="292" w:lineRule="auto" w:before="0" w:after="0"/>
        <w:ind w:left="2410" w:right="132" w:hanging="567"/>
        <w:jc w:val="both"/>
        <w:rPr>
          <w:sz w:val="20"/>
        </w:rPr>
      </w:pPr>
      <w:r>
        <w:rPr>
          <w:color w:val="231F20"/>
          <w:sz w:val="20"/>
        </w:rPr>
        <w:t>Scope of business: packaging and decoration printing; research and development, design, production, and sales of paper products; wholesale and retail of paper, printing equipment, printing consumables (excluding hazardous chemicals), plastic products, and hardware accessories; repair and technical transformation of printing machinery; graphic advertising design and production. (Business activities subject</w:t>
      </w:r>
      <w:r>
        <w:rPr>
          <w:color w:val="231F20"/>
          <w:spacing w:val="80"/>
          <w:sz w:val="20"/>
        </w:rPr>
        <w:t> </w:t>
      </w:r>
      <w:r>
        <w:rPr>
          <w:color w:val="231F20"/>
          <w:sz w:val="20"/>
        </w:rPr>
        <w:t>to approval according to law may be carried out only after approval by </w:t>
      </w:r>
      <w:r>
        <w:rPr>
          <w:color w:val="231F20"/>
          <w:sz w:val="20"/>
        </w:rPr>
        <w:t>relevant </w:t>
      </w:r>
      <w:r>
        <w:rPr>
          <w:color w:val="231F20"/>
          <w:spacing w:val="-2"/>
          <w:sz w:val="20"/>
        </w:rPr>
        <w:t>departments)</w:t>
      </w:r>
    </w:p>
    <w:p>
      <w:pPr>
        <w:pStyle w:val="BodyText"/>
        <w:spacing w:before="46"/>
      </w:pPr>
    </w:p>
    <w:p>
      <w:pPr>
        <w:pStyle w:val="ListParagraph"/>
        <w:numPr>
          <w:ilvl w:val="1"/>
          <w:numId w:val="8"/>
        </w:numPr>
        <w:tabs>
          <w:tab w:pos="2410" w:val="left" w:leader="none"/>
        </w:tabs>
        <w:spacing w:line="292" w:lineRule="auto" w:before="0" w:after="0"/>
        <w:ind w:left="2410" w:right="138" w:hanging="567"/>
        <w:jc w:val="both"/>
        <w:rPr>
          <w:sz w:val="20"/>
        </w:rPr>
      </w:pPr>
      <w:r>
        <w:rPr>
          <w:color w:val="231F20"/>
          <w:sz w:val="20"/>
        </w:rPr>
        <w:t>Related party relationship or business association with the Company: a controlled subsidiary</w:t>
      </w:r>
      <w:r>
        <w:rPr>
          <w:color w:val="231F20"/>
          <w:spacing w:val="40"/>
          <w:sz w:val="20"/>
        </w:rPr>
        <w:t> </w:t>
      </w:r>
      <w:r>
        <w:rPr>
          <w:color w:val="231F20"/>
          <w:sz w:val="20"/>
        </w:rPr>
        <w:t>of</w:t>
      </w:r>
      <w:r>
        <w:rPr>
          <w:color w:val="231F20"/>
          <w:spacing w:val="40"/>
          <w:sz w:val="20"/>
        </w:rPr>
        <w:t> </w:t>
      </w:r>
      <w:r>
        <w:rPr>
          <w:color w:val="231F20"/>
          <w:sz w:val="20"/>
        </w:rPr>
        <w:t>the</w:t>
      </w:r>
      <w:r>
        <w:rPr>
          <w:color w:val="231F20"/>
          <w:spacing w:val="40"/>
          <w:sz w:val="20"/>
        </w:rPr>
        <w:t> </w:t>
      </w:r>
      <w:r>
        <w:rPr>
          <w:color w:val="231F20"/>
          <w:sz w:val="20"/>
        </w:rPr>
        <w:t>Company,</w:t>
      </w:r>
      <w:r>
        <w:rPr>
          <w:color w:val="231F20"/>
          <w:spacing w:val="40"/>
          <w:sz w:val="20"/>
        </w:rPr>
        <w:t> </w:t>
      </w:r>
      <w:r>
        <w:rPr>
          <w:color w:val="231F20"/>
          <w:sz w:val="20"/>
        </w:rPr>
        <w:t>with</w:t>
      </w:r>
      <w:r>
        <w:rPr>
          <w:color w:val="231F20"/>
          <w:spacing w:val="40"/>
          <w:sz w:val="20"/>
        </w:rPr>
        <w:t> </w:t>
      </w:r>
      <w:r>
        <w:rPr>
          <w:color w:val="231F20"/>
          <w:sz w:val="20"/>
        </w:rPr>
        <w:t>the</w:t>
      </w:r>
      <w:r>
        <w:rPr>
          <w:color w:val="231F20"/>
          <w:spacing w:val="40"/>
          <w:sz w:val="20"/>
        </w:rPr>
        <w:t> </w:t>
      </w:r>
      <w:r>
        <w:rPr>
          <w:color w:val="231F20"/>
          <w:sz w:val="20"/>
        </w:rPr>
        <w:t>Company</w:t>
      </w:r>
      <w:r>
        <w:rPr>
          <w:color w:val="231F20"/>
          <w:spacing w:val="40"/>
          <w:sz w:val="20"/>
        </w:rPr>
        <w:t> </w:t>
      </w:r>
      <w:r>
        <w:rPr>
          <w:color w:val="231F20"/>
          <w:sz w:val="20"/>
        </w:rPr>
        <w:t>holding</w:t>
      </w:r>
      <w:r>
        <w:rPr>
          <w:color w:val="231F20"/>
          <w:spacing w:val="40"/>
          <w:sz w:val="20"/>
        </w:rPr>
        <w:t> </w:t>
      </w:r>
      <w:r>
        <w:rPr>
          <w:color w:val="231F20"/>
          <w:sz w:val="20"/>
        </w:rPr>
        <w:t>60%</w:t>
      </w:r>
      <w:r>
        <w:rPr>
          <w:color w:val="231F20"/>
          <w:spacing w:val="40"/>
          <w:sz w:val="20"/>
        </w:rPr>
        <w:t> </w:t>
      </w:r>
      <w:r>
        <w:rPr>
          <w:color w:val="231F20"/>
          <w:sz w:val="20"/>
        </w:rPr>
        <w:t>of</w:t>
      </w:r>
      <w:r>
        <w:rPr>
          <w:color w:val="231F20"/>
          <w:spacing w:val="40"/>
          <w:sz w:val="20"/>
        </w:rPr>
        <w:t> </w:t>
      </w:r>
      <w:r>
        <w:rPr>
          <w:color w:val="231F20"/>
          <w:sz w:val="20"/>
        </w:rPr>
        <w:t>its</w:t>
      </w:r>
      <w:r>
        <w:rPr>
          <w:color w:val="231F20"/>
          <w:spacing w:val="40"/>
          <w:sz w:val="20"/>
        </w:rPr>
        <w:t> </w:t>
      </w:r>
      <w:r>
        <w:rPr>
          <w:color w:val="231F20"/>
          <w:sz w:val="20"/>
        </w:rPr>
        <w:t>equity</w:t>
      </w:r>
    </w:p>
    <w:p>
      <w:pPr>
        <w:pStyle w:val="BodyText"/>
        <w:spacing w:before="49"/>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Key</w:t>
      </w:r>
      <w:r>
        <w:rPr>
          <w:color w:val="231F20"/>
          <w:spacing w:val="29"/>
          <w:sz w:val="20"/>
        </w:rPr>
        <w:t> </w:t>
      </w:r>
      <w:r>
        <w:rPr>
          <w:color w:val="231F20"/>
          <w:sz w:val="20"/>
        </w:rPr>
        <w:t>financial</w:t>
      </w:r>
      <w:r>
        <w:rPr>
          <w:color w:val="231F20"/>
          <w:spacing w:val="30"/>
          <w:sz w:val="20"/>
        </w:rPr>
        <w:t> </w:t>
      </w:r>
      <w:r>
        <w:rPr>
          <w:color w:val="231F20"/>
          <w:sz w:val="20"/>
        </w:rPr>
        <w:t>data</w:t>
      </w:r>
      <w:r>
        <w:rPr>
          <w:color w:val="231F20"/>
          <w:spacing w:val="30"/>
          <w:sz w:val="20"/>
        </w:rPr>
        <w:t> </w:t>
      </w:r>
      <w:r>
        <w:rPr>
          <w:color w:val="231F20"/>
          <w:sz w:val="20"/>
        </w:rPr>
        <w:t>for</w:t>
      </w:r>
      <w:r>
        <w:rPr>
          <w:color w:val="231F20"/>
          <w:spacing w:val="29"/>
          <w:sz w:val="20"/>
        </w:rPr>
        <w:t> </w:t>
      </w:r>
      <w:r>
        <w:rPr>
          <w:color w:val="231F20"/>
          <w:sz w:val="20"/>
        </w:rPr>
        <w:t>the</w:t>
      </w:r>
      <w:r>
        <w:rPr>
          <w:color w:val="231F20"/>
          <w:spacing w:val="30"/>
          <w:sz w:val="20"/>
        </w:rPr>
        <w:t> </w:t>
      </w:r>
      <w:r>
        <w:rPr>
          <w:color w:val="231F20"/>
          <w:sz w:val="20"/>
        </w:rPr>
        <w:t>latest</w:t>
      </w:r>
      <w:r>
        <w:rPr>
          <w:color w:val="231F20"/>
          <w:spacing w:val="30"/>
          <w:sz w:val="20"/>
        </w:rPr>
        <w:t> </w:t>
      </w:r>
      <w:r>
        <w:rPr>
          <w:color w:val="231F20"/>
          <w:sz w:val="20"/>
        </w:rPr>
        <w:t>financial</w:t>
      </w:r>
      <w:r>
        <w:rPr>
          <w:color w:val="231F20"/>
          <w:spacing w:val="29"/>
          <w:sz w:val="20"/>
        </w:rPr>
        <w:t> </w:t>
      </w:r>
      <w:r>
        <w:rPr>
          <w:color w:val="231F20"/>
          <w:sz w:val="20"/>
        </w:rPr>
        <w:t>year</w:t>
      </w:r>
      <w:r>
        <w:rPr>
          <w:color w:val="231F20"/>
          <w:spacing w:val="30"/>
          <w:sz w:val="20"/>
        </w:rPr>
        <w:t> </w:t>
      </w:r>
      <w:r>
        <w:rPr>
          <w:color w:val="231F20"/>
          <w:sz w:val="20"/>
        </w:rPr>
        <w:t>and</w:t>
      </w:r>
      <w:r>
        <w:rPr>
          <w:color w:val="231F20"/>
          <w:spacing w:val="30"/>
          <w:sz w:val="20"/>
        </w:rPr>
        <w:t> </w:t>
      </w:r>
      <w:r>
        <w:rPr>
          <w:color w:val="231F20"/>
          <w:sz w:val="20"/>
        </w:rPr>
        <w:t>the</w:t>
      </w:r>
      <w:r>
        <w:rPr>
          <w:color w:val="231F20"/>
          <w:spacing w:val="29"/>
          <w:sz w:val="20"/>
        </w:rPr>
        <w:t> </w:t>
      </w:r>
      <w:r>
        <w:rPr>
          <w:color w:val="231F20"/>
          <w:sz w:val="20"/>
        </w:rPr>
        <w:t>subsequent</w:t>
      </w:r>
      <w:r>
        <w:rPr>
          <w:color w:val="231F20"/>
          <w:spacing w:val="30"/>
          <w:sz w:val="20"/>
        </w:rPr>
        <w:t> </w:t>
      </w:r>
      <w:r>
        <w:rPr>
          <w:color w:val="231F20"/>
          <w:sz w:val="20"/>
        </w:rPr>
        <w:t>interim</w:t>
      </w:r>
      <w:r>
        <w:rPr>
          <w:color w:val="231F20"/>
          <w:spacing w:val="30"/>
          <w:sz w:val="20"/>
        </w:rPr>
        <w:t> </w:t>
      </w:r>
      <w:r>
        <w:rPr>
          <w:color w:val="231F20"/>
          <w:spacing w:val="-2"/>
          <w:sz w:val="20"/>
        </w:rPr>
        <w:t>period</w:t>
      </w:r>
    </w:p>
    <w:p>
      <w:pPr>
        <w:pStyle w:val="BodyText"/>
        <w:spacing w:before="10"/>
        <w:rPr>
          <w:sz w:val="19"/>
        </w:rPr>
      </w:pPr>
    </w:p>
    <w:p>
      <w:pPr>
        <w:pStyle w:val="BodyText"/>
        <w:spacing w:after="0"/>
        <w:rPr>
          <w:sz w:val="19"/>
        </w:rPr>
        <w:sectPr>
          <w:pgSz w:w="11910" w:h="15880"/>
          <w:pgMar w:header="567" w:footer="573" w:top="1300" w:bottom="760" w:left="1275" w:right="1275"/>
        </w:sectPr>
      </w:pPr>
    </w:p>
    <w:p>
      <w:pPr>
        <w:pStyle w:val="BodyText"/>
      </w:pPr>
    </w:p>
    <w:p>
      <w:pPr>
        <w:pStyle w:val="BodyText"/>
      </w:pPr>
    </w:p>
    <w:p>
      <w:pPr>
        <w:pStyle w:val="BodyText"/>
      </w:pPr>
    </w:p>
    <w:p>
      <w:pPr>
        <w:pStyle w:val="BodyText"/>
      </w:pPr>
    </w:p>
    <w:p>
      <w:pPr>
        <w:pStyle w:val="BodyText"/>
      </w:pPr>
    </w:p>
    <w:p>
      <w:pPr>
        <w:pStyle w:val="BodyText"/>
      </w:pPr>
    </w:p>
    <w:p>
      <w:pPr>
        <w:pStyle w:val="BodyText"/>
        <w:spacing w:before="171"/>
      </w:pPr>
    </w:p>
    <w:p>
      <w:pPr>
        <w:spacing w:before="1"/>
        <w:ind w:left="0" w:right="38" w:firstLine="0"/>
        <w:jc w:val="right"/>
        <w:rPr>
          <w:b/>
          <w:sz w:val="20"/>
        </w:rPr>
      </w:pPr>
      <w:r>
        <w:rPr>
          <w:b/>
          <w:color w:val="231F20"/>
          <w:spacing w:val="-2"/>
          <w:sz w:val="20"/>
        </w:rPr>
        <w:t>Items</w:t>
      </w:r>
    </w:p>
    <w:p>
      <w:pPr>
        <w:spacing w:line="240" w:lineRule="auto" w:before="151"/>
        <w:rPr>
          <w:b/>
          <w:sz w:val="20"/>
        </w:rPr>
      </w:pPr>
      <w:r>
        <w:rPr/>
        <w:br w:type="column"/>
      </w:r>
      <w:r>
        <w:rPr>
          <w:b/>
          <w:sz w:val="20"/>
        </w:rPr>
      </w:r>
    </w:p>
    <w:p>
      <w:pPr>
        <w:spacing w:line="292" w:lineRule="auto" w:before="1"/>
        <w:ind w:left="2410" w:right="64" w:firstLine="839"/>
        <w:jc w:val="right"/>
        <w:rPr>
          <w:b/>
          <w:sz w:val="20"/>
        </w:rPr>
      </w:pPr>
      <w:r>
        <w:rPr>
          <w:b/>
          <w:color w:val="231F20"/>
          <w:sz w:val="20"/>
        </w:rPr>
        <w:t>As</w:t>
      </w:r>
      <w:r>
        <w:rPr>
          <w:b/>
          <w:color w:val="231F20"/>
          <w:spacing w:val="-11"/>
          <w:sz w:val="20"/>
        </w:rPr>
        <w:t> </w:t>
      </w:r>
      <w:r>
        <w:rPr>
          <w:b/>
          <w:color w:val="231F20"/>
          <w:sz w:val="20"/>
        </w:rPr>
        <w:t>at June 30, 2025/ For the period from January to June 2025</w:t>
      </w:r>
    </w:p>
    <w:p>
      <w:pPr>
        <w:spacing w:line="227" w:lineRule="exact" w:before="0"/>
        <w:ind w:left="0" w:right="0" w:firstLine="0"/>
        <w:jc w:val="right"/>
        <w:rPr>
          <w:b/>
          <w:sz w:val="20"/>
        </w:rPr>
      </w:pPr>
      <w:r>
        <w:rPr>
          <w:b/>
          <w:color w:val="231F20"/>
          <w:spacing w:val="-2"/>
          <w:sz w:val="20"/>
        </w:rPr>
        <w:t>(Unaudited)</w:t>
      </w:r>
    </w:p>
    <w:p>
      <w:pPr>
        <w:spacing w:line="292" w:lineRule="auto" w:before="102"/>
        <w:ind w:left="146" w:right="135" w:firstLine="983"/>
        <w:jc w:val="right"/>
        <w:rPr>
          <w:b/>
          <w:sz w:val="20"/>
        </w:rPr>
      </w:pPr>
      <w:r>
        <w:rPr/>
        <w:br w:type="column"/>
      </w:r>
      <w:r>
        <w:rPr>
          <w:b/>
          <w:color w:val="231F20"/>
          <w:sz w:val="20"/>
        </w:rPr>
        <w:t>As</w:t>
      </w:r>
      <w:r>
        <w:rPr>
          <w:b/>
          <w:color w:val="231F20"/>
          <w:spacing w:val="-8"/>
          <w:sz w:val="20"/>
        </w:rPr>
        <w:t> </w:t>
      </w:r>
      <w:r>
        <w:rPr>
          <w:b/>
          <w:color w:val="231F20"/>
          <w:sz w:val="20"/>
        </w:rPr>
        <w:t>at December 31, 2024/For period from</w:t>
      </w:r>
      <w:r>
        <w:rPr>
          <w:b/>
          <w:color w:val="231F20"/>
          <w:spacing w:val="29"/>
          <w:sz w:val="20"/>
        </w:rPr>
        <w:t> </w:t>
      </w:r>
      <w:r>
        <w:rPr>
          <w:b/>
          <w:color w:val="231F20"/>
          <w:sz w:val="20"/>
        </w:rPr>
        <w:t>January</w:t>
      </w:r>
      <w:r>
        <w:rPr>
          <w:b/>
          <w:color w:val="231F20"/>
          <w:spacing w:val="80"/>
          <w:sz w:val="20"/>
        </w:rPr>
        <w:t> </w:t>
      </w:r>
      <w:r>
        <w:rPr>
          <w:b/>
          <w:color w:val="231F20"/>
          <w:sz w:val="20"/>
        </w:rPr>
        <w:t>to December</w:t>
      </w:r>
    </w:p>
    <w:p>
      <w:pPr>
        <w:spacing w:line="227" w:lineRule="exact" w:before="0"/>
        <w:ind w:left="0" w:right="135" w:firstLine="0"/>
        <w:jc w:val="right"/>
        <w:rPr>
          <w:b/>
          <w:sz w:val="20"/>
        </w:rPr>
      </w:pPr>
      <w:r>
        <w:rPr>
          <w:b/>
          <w:color w:val="231F20"/>
          <w:spacing w:val="-4"/>
          <w:sz w:val="20"/>
        </w:rPr>
        <w:t>2024</w:t>
      </w:r>
    </w:p>
    <w:p>
      <w:pPr>
        <w:spacing w:before="50"/>
        <w:ind w:left="0" w:right="68" w:firstLine="0"/>
        <w:jc w:val="right"/>
        <w:rPr>
          <w:b/>
          <w:sz w:val="20"/>
        </w:rPr>
      </w:pPr>
      <w:r>
        <w:rPr>
          <w:b/>
          <w:color w:val="231F20"/>
          <w:spacing w:val="-2"/>
          <w:sz w:val="20"/>
        </w:rPr>
        <w:t>(Audited)</w:t>
      </w:r>
    </w:p>
    <w:p>
      <w:pPr>
        <w:spacing w:after="0"/>
        <w:jc w:val="right"/>
        <w:rPr>
          <w:b/>
          <w:sz w:val="20"/>
        </w:rPr>
        <w:sectPr>
          <w:type w:val="continuous"/>
          <w:pgSz w:w="11910" w:h="15880"/>
          <w:pgMar w:header="567" w:footer="573" w:top="1300" w:bottom="280" w:left="1275" w:right="1275"/>
          <w:cols w:num="3" w:equalWidth="0">
            <w:col w:w="2953" w:space="851"/>
            <w:col w:w="3780" w:space="40"/>
            <w:col w:w="1736"/>
          </w:cols>
        </w:sectPr>
      </w:pPr>
    </w:p>
    <w:p>
      <w:pPr>
        <w:pStyle w:val="Heading4"/>
        <w:tabs>
          <w:tab w:pos="1700" w:val="left" w:leader="none"/>
        </w:tabs>
        <w:rPr>
          <w:i/>
        </w:rPr>
      </w:pPr>
      <w:r>
        <w:rPr>
          <w:i/>
          <w:color w:val="231F20"/>
          <w:spacing w:val="-2"/>
          <w:w w:val="105"/>
        </w:rPr>
        <w:t>(RMB)</w:t>
      </w:r>
      <w:r>
        <w:rPr>
          <w:i/>
          <w:color w:val="231F20"/>
        </w:rPr>
        <w:tab/>
      </w:r>
      <w:r>
        <w:rPr>
          <w:i/>
          <w:color w:val="231F20"/>
          <w:spacing w:val="-2"/>
          <w:w w:val="105"/>
        </w:rPr>
        <w:t>(RMB)</w:t>
      </w:r>
    </w:p>
    <w:p>
      <w:pPr>
        <w:pStyle w:val="BodyText"/>
        <w:spacing w:before="99"/>
        <w:rPr>
          <w:b/>
          <w:i/>
        </w:rPr>
      </w:pPr>
    </w:p>
    <w:p>
      <w:pPr>
        <w:pStyle w:val="BodyText"/>
        <w:tabs>
          <w:tab w:pos="6197" w:val="left" w:leader="none"/>
          <w:tab w:pos="7898" w:val="left" w:leader="none"/>
        </w:tabs>
        <w:spacing w:before="1"/>
        <w:ind w:left="2410"/>
      </w:pPr>
      <w:r>
        <w:rPr>
          <w:color w:val="231F20"/>
        </w:rPr>
        <w:t>Total</w:t>
      </w:r>
      <w:r>
        <w:rPr>
          <w:color w:val="231F20"/>
          <w:spacing w:val="30"/>
        </w:rPr>
        <w:t> </w:t>
      </w:r>
      <w:r>
        <w:rPr>
          <w:color w:val="231F20"/>
          <w:spacing w:val="-2"/>
        </w:rPr>
        <w:t>assets</w:t>
      </w:r>
      <w:r>
        <w:rPr>
          <w:color w:val="231F20"/>
        </w:rPr>
        <w:tab/>
      </w:r>
      <w:r>
        <w:rPr>
          <w:color w:val="231F20"/>
          <w:spacing w:val="-2"/>
        </w:rPr>
        <w:t>116,169,084.46</w:t>
      </w:r>
      <w:r>
        <w:rPr>
          <w:color w:val="231F20"/>
        </w:rPr>
        <w:tab/>
      </w:r>
      <w:r>
        <w:rPr>
          <w:color w:val="231F20"/>
          <w:spacing w:val="-2"/>
        </w:rPr>
        <w:t>126,202,394.03</w:t>
      </w:r>
    </w:p>
    <w:p>
      <w:pPr>
        <w:pStyle w:val="BodyText"/>
        <w:tabs>
          <w:tab w:pos="6407" w:val="left" w:leader="none"/>
          <w:tab w:pos="8003" w:val="left" w:leader="none"/>
        </w:tabs>
        <w:spacing w:before="50"/>
        <w:ind w:left="2410"/>
      </w:pPr>
      <w:r>
        <w:rPr>
          <w:color w:val="231F20"/>
        </w:rPr>
        <w:t>Total</w:t>
      </w:r>
      <w:r>
        <w:rPr>
          <w:color w:val="231F20"/>
          <w:spacing w:val="30"/>
        </w:rPr>
        <w:t> </w:t>
      </w:r>
      <w:r>
        <w:rPr>
          <w:color w:val="231F20"/>
          <w:spacing w:val="-2"/>
        </w:rPr>
        <w:t>liabilities</w:t>
      </w:r>
      <w:r>
        <w:rPr>
          <w:color w:val="231F20"/>
        </w:rPr>
        <w:tab/>
      </w:r>
      <w:r>
        <w:rPr>
          <w:color w:val="231F20"/>
          <w:spacing w:val="-2"/>
        </w:rPr>
        <w:t>8,138,177.01</w:t>
      </w:r>
      <w:r>
        <w:rPr>
          <w:color w:val="231F20"/>
        </w:rPr>
        <w:tab/>
      </w:r>
      <w:r>
        <w:rPr>
          <w:color w:val="231F20"/>
          <w:spacing w:val="-2"/>
        </w:rPr>
        <w:t>17,951,170.75</w:t>
      </w:r>
    </w:p>
    <w:p>
      <w:pPr>
        <w:pStyle w:val="BodyText"/>
        <w:tabs>
          <w:tab w:pos="6197" w:val="left" w:leader="none"/>
          <w:tab w:pos="7898" w:val="left" w:leader="none"/>
        </w:tabs>
        <w:spacing w:before="50"/>
        <w:ind w:left="2410"/>
      </w:pPr>
      <w:r>
        <w:rPr>
          <w:color w:val="231F20"/>
        </w:rPr>
        <w:t>Net</w:t>
      </w:r>
      <w:r>
        <w:rPr>
          <w:color w:val="231F20"/>
          <w:spacing w:val="20"/>
        </w:rPr>
        <w:t> </w:t>
      </w:r>
      <w:r>
        <w:rPr>
          <w:color w:val="231F20"/>
          <w:spacing w:val="-2"/>
        </w:rPr>
        <w:t>assets</w:t>
      </w:r>
      <w:r>
        <w:rPr>
          <w:color w:val="231F20"/>
        </w:rPr>
        <w:tab/>
      </w:r>
      <w:r>
        <w:rPr>
          <w:color w:val="231F20"/>
          <w:spacing w:val="-2"/>
        </w:rPr>
        <w:t>108,030,907.45</w:t>
      </w:r>
      <w:r>
        <w:rPr>
          <w:color w:val="231F20"/>
        </w:rPr>
        <w:tab/>
      </w:r>
      <w:r>
        <w:rPr>
          <w:color w:val="231F20"/>
          <w:spacing w:val="-2"/>
        </w:rPr>
        <w:t>108,251,223.28</w:t>
      </w:r>
    </w:p>
    <w:p>
      <w:pPr>
        <w:pStyle w:val="BodyText"/>
        <w:tabs>
          <w:tab w:pos="6302" w:val="left" w:leader="none"/>
          <w:tab w:pos="8003" w:val="left" w:leader="none"/>
        </w:tabs>
        <w:spacing w:before="50"/>
        <w:ind w:left="2410"/>
      </w:pPr>
      <w:r>
        <w:rPr>
          <w:color w:val="231F20"/>
        </w:rPr>
        <w:t>Operating</w:t>
      </w:r>
      <w:r>
        <w:rPr>
          <w:color w:val="231F20"/>
          <w:spacing w:val="50"/>
        </w:rPr>
        <w:t> </w:t>
      </w:r>
      <w:r>
        <w:rPr>
          <w:color w:val="231F20"/>
          <w:spacing w:val="-2"/>
        </w:rPr>
        <w:t>revenue</w:t>
      </w:r>
      <w:r>
        <w:rPr>
          <w:color w:val="231F20"/>
        </w:rPr>
        <w:tab/>
      </w:r>
      <w:r>
        <w:rPr>
          <w:color w:val="231F20"/>
          <w:spacing w:val="-2"/>
        </w:rPr>
        <w:t>35,293,988.39</w:t>
      </w:r>
      <w:r>
        <w:rPr>
          <w:color w:val="231F20"/>
        </w:rPr>
        <w:tab/>
      </w:r>
      <w:r>
        <w:rPr>
          <w:color w:val="231F20"/>
          <w:spacing w:val="-2"/>
        </w:rPr>
        <w:t>93,348,712.29</w:t>
      </w:r>
    </w:p>
    <w:p>
      <w:pPr>
        <w:pStyle w:val="BodyText"/>
        <w:tabs>
          <w:tab w:pos="6495" w:val="left" w:leader="none"/>
          <w:tab w:pos="8108" w:val="left" w:leader="none"/>
        </w:tabs>
        <w:spacing w:before="50"/>
        <w:ind w:left="2410"/>
      </w:pPr>
      <w:r>
        <w:rPr>
          <w:color w:val="231F20"/>
        </w:rPr>
        <w:t>Total</w:t>
      </w:r>
      <w:r>
        <w:rPr>
          <w:color w:val="231F20"/>
          <w:spacing w:val="30"/>
        </w:rPr>
        <w:t> </w:t>
      </w:r>
      <w:r>
        <w:rPr>
          <w:color w:val="231F20"/>
          <w:spacing w:val="-2"/>
        </w:rPr>
        <w:t>profit</w:t>
      </w:r>
      <w:r>
        <w:rPr>
          <w:color w:val="231F20"/>
        </w:rPr>
        <w:tab/>
        <w:t>-</w:t>
      </w:r>
      <w:r>
        <w:rPr>
          <w:color w:val="231F20"/>
          <w:spacing w:val="-2"/>
        </w:rPr>
        <w:t>158,208.32</w:t>
      </w:r>
      <w:r>
        <w:rPr>
          <w:color w:val="231F20"/>
        </w:rPr>
        <w:tab/>
      </w:r>
      <w:r>
        <w:rPr>
          <w:color w:val="231F20"/>
          <w:spacing w:val="-2"/>
        </w:rPr>
        <w:t>5,826,541.55</w:t>
      </w:r>
    </w:p>
    <w:p>
      <w:pPr>
        <w:pStyle w:val="BodyText"/>
        <w:tabs>
          <w:tab w:pos="6495" w:val="left" w:leader="none"/>
          <w:tab w:pos="8108" w:val="left" w:leader="none"/>
        </w:tabs>
        <w:spacing w:before="50"/>
        <w:ind w:left="2410"/>
      </w:pPr>
      <w:r>
        <w:rPr>
          <w:color w:val="231F20"/>
        </w:rPr>
        <w:t>Net</w:t>
      </w:r>
      <w:r>
        <w:rPr>
          <w:color w:val="231F20"/>
          <w:spacing w:val="20"/>
        </w:rPr>
        <w:t> </w:t>
      </w:r>
      <w:r>
        <w:rPr>
          <w:color w:val="231F20"/>
          <w:spacing w:val="-2"/>
        </w:rPr>
        <w:t>profit</w:t>
      </w:r>
      <w:r>
        <w:rPr>
          <w:color w:val="231F20"/>
        </w:rPr>
        <w:tab/>
        <w:t>-</w:t>
      </w:r>
      <w:r>
        <w:rPr>
          <w:color w:val="231F20"/>
          <w:spacing w:val="-2"/>
        </w:rPr>
        <w:t>220,315.83</w:t>
      </w:r>
      <w:r>
        <w:rPr>
          <w:color w:val="231F20"/>
        </w:rPr>
        <w:tab/>
      </w:r>
      <w:r>
        <w:rPr>
          <w:color w:val="231F20"/>
          <w:spacing w:val="-2"/>
        </w:rPr>
        <w:t>5,227,368.86</w:t>
      </w:r>
    </w:p>
    <w:p>
      <w:pPr>
        <w:pStyle w:val="BodyText"/>
        <w:spacing w:before="100"/>
      </w:pPr>
    </w:p>
    <w:p>
      <w:pPr>
        <w:pStyle w:val="ListParagraph"/>
        <w:numPr>
          <w:ilvl w:val="1"/>
          <w:numId w:val="8"/>
        </w:numPr>
        <w:tabs>
          <w:tab w:pos="2410" w:val="left" w:leader="none"/>
        </w:tabs>
        <w:spacing w:line="240" w:lineRule="auto" w:before="0" w:after="0"/>
        <w:ind w:left="2410" w:right="0" w:hanging="567"/>
        <w:jc w:val="left"/>
        <w:rPr>
          <w:sz w:val="20"/>
        </w:rPr>
      </w:pPr>
      <w:r>
        <w:rPr>
          <w:color w:val="231F20"/>
          <w:sz w:val="20"/>
        </w:rPr>
        <w:t>Credit</w:t>
      </w:r>
      <w:r>
        <w:rPr>
          <w:color w:val="231F20"/>
          <w:spacing w:val="33"/>
          <w:sz w:val="20"/>
        </w:rPr>
        <w:t> </w:t>
      </w:r>
      <w:r>
        <w:rPr>
          <w:color w:val="231F20"/>
          <w:sz w:val="20"/>
        </w:rPr>
        <w:t>rating:</w:t>
      </w:r>
      <w:r>
        <w:rPr>
          <w:color w:val="231F20"/>
          <w:spacing w:val="34"/>
          <w:sz w:val="20"/>
        </w:rPr>
        <w:t> </w:t>
      </w:r>
      <w:r>
        <w:rPr>
          <w:color w:val="231F20"/>
          <w:sz w:val="20"/>
        </w:rPr>
        <w:t>No</w:t>
      </w:r>
      <w:r>
        <w:rPr>
          <w:color w:val="231F20"/>
          <w:spacing w:val="33"/>
          <w:sz w:val="20"/>
        </w:rPr>
        <w:t> </w:t>
      </w:r>
      <w:r>
        <w:rPr>
          <w:color w:val="231F20"/>
          <w:sz w:val="20"/>
        </w:rPr>
        <w:t>external</w:t>
      </w:r>
      <w:r>
        <w:rPr>
          <w:color w:val="231F20"/>
          <w:spacing w:val="34"/>
          <w:sz w:val="20"/>
        </w:rPr>
        <w:t> </w:t>
      </w:r>
      <w:r>
        <w:rPr>
          <w:color w:val="231F20"/>
          <w:sz w:val="20"/>
        </w:rPr>
        <w:t>credit</w:t>
      </w:r>
      <w:r>
        <w:rPr>
          <w:color w:val="231F20"/>
          <w:spacing w:val="33"/>
          <w:sz w:val="20"/>
        </w:rPr>
        <w:t> </w:t>
      </w:r>
      <w:r>
        <w:rPr>
          <w:color w:val="231F20"/>
          <w:spacing w:val="-2"/>
          <w:sz w:val="20"/>
        </w:rPr>
        <w:t>rating</w:t>
      </w:r>
    </w:p>
    <w:p>
      <w:pPr>
        <w:pStyle w:val="BodyText"/>
        <w:spacing w:before="100"/>
      </w:pPr>
    </w:p>
    <w:p>
      <w:pPr>
        <w:pStyle w:val="BodyText"/>
        <w:ind w:left="2410"/>
      </w:pPr>
      <w:r>
        <w:rPr>
          <w:color w:val="231F20"/>
        </w:rPr>
        <w:t>Upon</w:t>
      </w:r>
      <w:r>
        <w:rPr>
          <w:color w:val="231F20"/>
          <w:spacing w:val="36"/>
        </w:rPr>
        <w:t> </w:t>
      </w:r>
      <w:r>
        <w:rPr>
          <w:color w:val="231F20"/>
        </w:rPr>
        <w:t>verification,</w:t>
      </w:r>
      <w:r>
        <w:rPr>
          <w:color w:val="231F20"/>
          <w:spacing w:val="37"/>
        </w:rPr>
        <w:t> </w:t>
      </w:r>
      <w:r>
        <w:rPr>
          <w:color w:val="231F20"/>
        </w:rPr>
        <w:t>Luanzhou</w:t>
      </w:r>
      <w:r>
        <w:rPr>
          <w:color w:val="231F20"/>
          <w:spacing w:val="38"/>
        </w:rPr>
        <w:t> </w:t>
      </w:r>
      <w:r>
        <w:rPr>
          <w:color w:val="231F20"/>
        </w:rPr>
        <w:t>Jihong</w:t>
      </w:r>
      <w:r>
        <w:rPr>
          <w:color w:val="231F20"/>
          <w:spacing w:val="37"/>
        </w:rPr>
        <w:t> </w:t>
      </w:r>
      <w:r>
        <w:rPr>
          <w:color w:val="231F20"/>
        </w:rPr>
        <w:t>is</w:t>
      </w:r>
      <w:r>
        <w:rPr>
          <w:color w:val="231F20"/>
          <w:spacing w:val="37"/>
        </w:rPr>
        <w:t> </w:t>
      </w:r>
      <w:r>
        <w:rPr>
          <w:color w:val="231F20"/>
        </w:rPr>
        <w:t>not</w:t>
      </w:r>
      <w:r>
        <w:rPr>
          <w:color w:val="231F20"/>
          <w:spacing w:val="38"/>
        </w:rPr>
        <w:t> </w:t>
      </w:r>
      <w:r>
        <w:rPr>
          <w:color w:val="231F20"/>
        </w:rPr>
        <w:t>an</w:t>
      </w:r>
      <w:r>
        <w:rPr>
          <w:color w:val="231F20"/>
          <w:spacing w:val="37"/>
        </w:rPr>
        <w:t> </w:t>
      </w:r>
      <w:r>
        <w:rPr>
          <w:color w:val="231F20"/>
        </w:rPr>
        <w:t>untrustworthy</w:t>
      </w:r>
      <w:r>
        <w:rPr>
          <w:color w:val="231F20"/>
          <w:spacing w:val="37"/>
        </w:rPr>
        <w:t> </w:t>
      </w:r>
      <w:r>
        <w:rPr>
          <w:color w:val="231F20"/>
        </w:rPr>
        <w:t>judgment</w:t>
      </w:r>
      <w:r>
        <w:rPr>
          <w:color w:val="231F20"/>
          <w:spacing w:val="38"/>
        </w:rPr>
        <w:t> </w:t>
      </w:r>
      <w:r>
        <w:rPr>
          <w:color w:val="231F20"/>
          <w:spacing w:val="-2"/>
        </w:rPr>
        <w:t>defaulter.</w:t>
      </w:r>
    </w:p>
    <w:p>
      <w:pPr>
        <w:pStyle w:val="BodyText"/>
        <w:spacing w:after="0"/>
        <w:sectPr>
          <w:type w:val="continuous"/>
          <w:pgSz w:w="11910" w:h="15880"/>
          <w:pgMar w:header="567" w:footer="573" w:top="1300" w:bottom="280" w:left="1275" w:right="1275"/>
        </w:sectPr>
      </w:pPr>
    </w:p>
    <w:p>
      <w:pPr>
        <w:pStyle w:val="BodyText"/>
        <w:spacing w:before="93"/>
      </w:pPr>
    </w:p>
    <w:p>
      <w:pPr>
        <w:pStyle w:val="Heading5"/>
        <w:numPr>
          <w:ilvl w:val="0"/>
          <w:numId w:val="8"/>
        </w:numPr>
        <w:tabs>
          <w:tab w:pos="1843" w:val="left" w:leader="none"/>
        </w:tabs>
        <w:spacing w:line="240" w:lineRule="auto" w:before="0" w:after="0"/>
        <w:ind w:left="1843" w:right="0" w:hanging="567"/>
        <w:jc w:val="left"/>
        <w:rPr>
          <w:i/>
        </w:rPr>
      </w:pPr>
      <w:r>
        <w:rPr>
          <w:i/>
          <w:color w:val="231F20"/>
        </w:rPr>
        <w:t>Jinan</w:t>
      </w:r>
      <w:r>
        <w:rPr>
          <w:i/>
          <w:color w:val="231F20"/>
          <w:spacing w:val="63"/>
        </w:rPr>
        <w:t> </w:t>
      </w:r>
      <w:r>
        <w:rPr>
          <w:i/>
          <w:color w:val="231F20"/>
        </w:rPr>
        <w:t>Jihong</w:t>
      </w:r>
      <w:r>
        <w:rPr>
          <w:i/>
          <w:color w:val="231F20"/>
          <w:spacing w:val="64"/>
        </w:rPr>
        <w:t> </w:t>
      </w:r>
      <w:r>
        <w:rPr>
          <w:i/>
          <w:color w:val="231F20"/>
        </w:rPr>
        <w:t>Packaging</w:t>
      </w:r>
      <w:r>
        <w:rPr>
          <w:i/>
          <w:color w:val="231F20"/>
          <w:spacing w:val="64"/>
        </w:rPr>
        <w:t> </w:t>
      </w:r>
      <w:r>
        <w:rPr>
          <w:i/>
          <w:color w:val="231F20"/>
        </w:rPr>
        <w:t>Limited*</w:t>
      </w:r>
      <w:r>
        <w:rPr>
          <w:i/>
          <w:color w:val="231F20"/>
          <w:spacing w:val="32"/>
        </w:rPr>
        <w:t> (</w:t>
      </w:r>
      <w:r>
        <w:rPr>
          <w:rFonts w:ascii="Microsoft YaHei" w:eastAsia="Microsoft YaHei"/>
          <w:color w:val="231F20"/>
        </w:rPr>
        <w:t>濟南吉聯包裝有限公司</w:t>
      </w:r>
      <w:r>
        <w:rPr>
          <w:i/>
          <w:color w:val="231F20"/>
          <w:spacing w:val="-10"/>
        </w:rPr>
        <w:t>)</w:t>
      </w:r>
    </w:p>
    <w:p>
      <w:pPr>
        <w:pStyle w:val="BodyText"/>
        <w:spacing w:before="38"/>
        <w:rPr>
          <w:b/>
          <w:i/>
        </w:rPr>
      </w:pPr>
    </w:p>
    <w:p>
      <w:pPr>
        <w:pStyle w:val="ListParagraph"/>
        <w:numPr>
          <w:ilvl w:val="1"/>
          <w:numId w:val="8"/>
        </w:numPr>
        <w:tabs>
          <w:tab w:pos="2409" w:val="left" w:leader="none"/>
        </w:tabs>
        <w:spacing w:line="240" w:lineRule="auto" w:before="1" w:after="0"/>
        <w:ind w:left="2409" w:right="0" w:hanging="566"/>
        <w:jc w:val="left"/>
        <w:rPr>
          <w:sz w:val="20"/>
        </w:rPr>
      </w:pPr>
      <w:r>
        <w:rPr>
          <w:color w:val="231F20"/>
          <w:sz w:val="20"/>
        </w:rPr>
        <w:t>Company</w:t>
      </w:r>
      <w:r>
        <w:rPr>
          <w:color w:val="231F20"/>
          <w:spacing w:val="47"/>
          <w:sz w:val="20"/>
        </w:rPr>
        <w:t> </w:t>
      </w:r>
      <w:r>
        <w:rPr>
          <w:color w:val="231F20"/>
          <w:sz w:val="20"/>
        </w:rPr>
        <w:t>name</w:t>
      </w:r>
      <w:r>
        <w:rPr>
          <w:color w:val="231F20"/>
          <w:spacing w:val="24"/>
          <w:sz w:val="20"/>
        </w:rPr>
        <w:t>: </w:t>
      </w:r>
      <w:r>
        <w:rPr>
          <w:color w:val="231F20"/>
          <w:sz w:val="20"/>
        </w:rPr>
        <w:t>Jinan</w:t>
      </w:r>
      <w:r>
        <w:rPr>
          <w:color w:val="231F20"/>
          <w:spacing w:val="47"/>
          <w:sz w:val="20"/>
        </w:rPr>
        <w:t> </w:t>
      </w:r>
      <w:r>
        <w:rPr>
          <w:color w:val="231F20"/>
          <w:sz w:val="20"/>
        </w:rPr>
        <w:t>Jihong</w:t>
      </w:r>
      <w:r>
        <w:rPr>
          <w:color w:val="231F20"/>
          <w:spacing w:val="48"/>
          <w:sz w:val="20"/>
        </w:rPr>
        <w:t> </w:t>
      </w:r>
      <w:r>
        <w:rPr>
          <w:color w:val="231F20"/>
          <w:sz w:val="20"/>
        </w:rPr>
        <w:t>Packaging</w:t>
      </w:r>
      <w:r>
        <w:rPr>
          <w:color w:val="231F20"/>
          <w:spacing w:val="47"/>
          <w:sz w:val="20"/>
        </w:rPr>
        <w:t> </w:t>
      </w:r>
      <w:r>
        <w:rPr>
          <w:color w:val="231F20"/>
          <w:sz w:val="20"/>
        </w:rPr>
        <w:t>Limited*</w:t>
      </w:r>
      <w:r>
        <w:rPr>
          <w:color w:val="231F20"/>
          <w:spacing w:val="24"/>
          <w:sz w:val="20"/>
        </w:rPr>
        <w:t> (</w:t>
      </w:r>
      <w:r>
        <w:rPr>
          <w:rFonts w:ascii="新細明體" w:eastAsia="新細明體"/>
          <w:color w:val="231F20"/>
          <w:sz w:val="20"/>
        </w:rPr>
        <w:t>濟南吉聯包裝有限公司</w:t>
      </w:r>
      <w:r>
        <w:rPr>
          <w:color w:val="231F20"/>
          <w:spacing w:val="-10"/>
          <w:sz w:val="20"/>
        </w:rPr>
        <w:t>)</w:t>
      </w:r>
    </w:p>
    <w:p>
      <w:pPr>
        <w:pStyle w:val="BodyText"/>
        <w:spacing w:before="63"/>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Date</w:t>
      </w:r>
      <w:r>
        <w:rPr>
          <w:color w:val="231F20"/>
          <w:spacing w:val="32"/>
          <w:sz w:val="20"/>
        </w:rPr>
        <w:t> </w:t>
      </w:r>
      <w:r>
        <w:rPr>
          <w:color w:val="231F20"/>
          <w:sz w:val="20"/>
        </w:rPr>
        <w:t>of</w:t>
      </w:r>
      <w:r>
        <w:rPr>
          <w:color w:val="231F20"/>
          <w:spacing w:val="32"/>
          <w:sz w:val="20"/>
        </w:rPr>
        <w:t> </w:t>
      </w:r>
      <w:r>
        <w:rPr>
          <w:color w:val="231F20"/>
          <w:sz w:val="20"/>
        </w:rPr>
        <w:t>establishment:</w:t>
      </w:r>
      <w:r>
        <w:rPr>
          <w:color w:val="231F20"/>
          <w:spacing w:val="32"/>
          <w:sz w:val="20"/>
        </w:rPr>
        <w:t> </w:t>
      </w:r>
      <w:r>
        <w:rPr>
          <w:color w:val="231F20"/>
          <w:sz w:val="20"/>
        </w:rPr>
        <w:t>July</w:t>
      </w:r>
      <w:r>
        <w:rPr>
          <w:color w:val="231F20"/>
          <w:spacing w:val="32"/>
          <w:sz w:val="20"/>
        </w:rPr>
        <w:t> </w:t>
      </w:r>
      <w:r>
        <w:rPr>
          <w:color w:val="231F20"/>
          <w:sz w:val="20"/>
        </w:rPr>
        <w:t>24,</w:t>
      </w:r>
      <w:r>
        <w:rPr>
          <w:color w:val="231F20"/>
          <w:spacing w:val="32"/>
          <w:sz w:val="20"/>
        </w:rPr>
        <w:t> </w:t>
      </w:r>
      <w:r>
        <w:rPr>
          <w:color w:val="231F20"/>
          <w:spacing w:val="-4"/>
          <w:sz w:val="20"/>
        </w:rPr>
        <w:t>2008</w:t>
      </w:r>
    </w:p>
    <w:p>
      <w:pPr>
        <w:pStyle w:val="BodyText"/>
        <w:spacing w:before="100"/>
      </w:pPr>
    </w:p>
    <w:p>
      <w:pPr>
        <w:pStyle w:val="ListParagraph"/>
        <w:numPr>
          <w:ilvl w:val="1"/>
          <w:numId w:val="8"/>
        </w:numPr>
        <w:tabs>
          <w:tab w:pos="2410" w:val="left" w:leader="none"/>
        </w:tabs>
        <w:spacing w:line="292" w:lineRule="auto" w:before="0" w:after="0"/>
        <w:ind w:left="2410" w:right="135" w:hanging="567"/>
        <w:jc w:val="both"/>
        <w:rPr>
          <w:sz w:val="20"/>
        </w:rPr>
      </w:pPr>
      <w:r>
        <w:rPr>
          <w:color w:val="231F20"/>
          <w:sz w:val="20"/>
        </w:rPr>
        <w:t>Place of registration: West End of Zheshnan Road, Zheshhan Industrial Park, Mingshui Economic Development Zone, Zhangqiu District, Jinan City, Shandong </w:t>
      </w:r>
      <w:r>
        <w:rPr>
          <w:color w:val="231F20"/>
          <w:spacing w:val="-2"/>
          <w:sz w:val="20"/>
        </w:rPr>
        <w:t>Province</w:t>
      </w:r>
    </w:p>
    <w:p>
      <w:pPr>
        <w:pStyle w:val="BodyText"/>
        <w:spacing w:before="48"/>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Registered</w:t>
      </w:r>
      <w:r>
        <w:rPr>
          <w:color w:val="231F20"/>
          <w:spacing w:val="43"/>
          <w:sz w:val="20"/>
        </w:rPr>
        <w:t> </w:t>
      </w:r>
      <w:r>
        <w:rPr>
          <w:color w:val="231F20"/>
          <w:sz w:val="20"/>
        </w:rPr>
        <w:t>capital:</w:t>
      </w:r>
      <w:r>
        <w:rPr>
          <w:color w:val="231F20"/>
          <w:spacing w:val="43"/>
          <w:sz w:val="20"/>
        </w:rPr>
        <w:t> </w:t>
      </w:r>
      <w:r>
        <w:rPr>
          <w:color w:val="231F20"/>
          <w:sz w:val="20"/>
        </w:rPr>
        <w:t>RMB50</w:t>
      </w:r>
      <w:r>
        <w:rPr>
          <w:color w:val="231F20"/>
          <w:spacing w:val="44"/>
          <w:sz w:val="20"/>
        </w:rPr>
        <w:t> </w:t>
      </w:r>
      <w:r>
        <w:rPr>
          <w:color w:val="231F20"/>
          <w:spacing w:val="-2"/>
          <w:sz w:val="20"/>
        </w:rPr>
        <w:t>million</w:t>
      </w:r>
    </w:p>
    <w:p>
      <w:pPr>
        <w:pStyle w:val="BodyText"/>
        <w:spacing w:before="100"/>
      </w:pPr>
    </w:p>
    <w:p>
      <w:pPr>
        <w:pStyle w:val="ListParagraph"/>
        <w:numPr>
          <w:ilvl w:val="1"/>
          <w:numId w:val="8"/>
        </w:numPr>
        <w:tabs>
          <w:tab w:pos="2409" w:val="left" w:leader="none"/>
        </w:tabs>
        <w:spacing w:line="240" w:lineRule="auto" w:before="1" w:after="0"/>
        <w:ind w:left="2409" w:right="0" w:hanging="566"/>
        <w:jc w:val="left"/>
        <w:rPr>
          <w:sz w:val="20"/>
        </w:rPr>
      </w:pPr>
      <w:r>
        <w:rPr>
          <w:color w:val="231F20"/>
          <w:sz w:val="20"/>
        </w:rPr>
        <w:t>Legal</w:t>
      </w:r>
      <w:r>
        <w:rPr>
          <w:color w:val="231F20"/>
          <w:spacing w:val="46"/>
          <w:sz w:val="20"/>
        </w:rPr>
        <w:t> </w:t>
      </w:r>
      <w:r>
        <w:rPr>
          <w:color w:val="231F20"/>
          <w:sz w:val="20"/>
        </w:rPr>
        <w:t>representative:</w:t>
      </w:r>
      <w:r>
        <w:rPr>
          <w:color w:val="231F20"/>
          <w:spacing w:val="47"/>
          <w:sz w:val="20"/>
        </w:rPr>
        <w:t> </w:t>
      </w:r>
      <w:r>
        <w:rPr>
          <w:color w:val="231F20"/>
          <w:sz w:val="20"/>
        </w:rPr>
        <w:t>Zhang</w:t>
      </w:r>
      <w:r>
        <w:rPr>
          <w:color w:val="231F20"/>
          <w:spacing w:val="47"/>
          <w:sz w:val="20"/>
        </w:rPr>
        <w:t> </w:t>
      </w:r>
      <w:r>
        <w:rPr>
          <w:color w:val="231F20"/>
          <w:spacing w:val="-2"/>
          <w:sz w:val="20"/>
        </w:rPr>
        <w:t>Heping</w:t>
      </w:r>
    </w:p>
    <w:p>
      <w:pPr>
        <w:pStyle w:val="BodyText"/>
        <w:spacing w:before="99"/>
      </w:pPr>
    </w:p>
    <w:p>
      <w:pPr>
        <w:pStyle w:val="ListParagraph"/>
        <w:numPr>
          <w:ilvl w:val="1"/>
          <w:numId w:val="8"/>
        </w:numPr>
        <w:tabs>
          <w:tab w:pos="2410" w:val="left" w:leader="none"/>
        </w:tabs>
        <w:spacing w:line="292" w:lineRule="auto" w:before="1" w:after="0"/>
        <w:ind w:left="2410" w:right="132" w:hanging="567"/>
        <w:jc w:val="both"/>
        <w:rPr>
          <w:sz w:val="20"/>
        </w:rPr>
      </w:pPr>
      <w:r>
        <w:rPr>
          <w:color w:val="231F20"/>
          <w:sz w:val="20"/>
        </w:rPr>
        <w:t>Scope of business: printing of packaging and decoration printed materials; general freight transportation; production and sales of paper products; sales of plastic products</w:t>
      </w:r>
      <w:r>
        <w:rPr>
          <w:color w:val="231F20"/>
          <w:spacing w:val="40"/>
          <w:sz w:val="20"/>
        </w:rPr>
        <w:t> </w:t>
      </w:r>
      <w:r>
        <w:rPr>
          <w:color w:val="231F20"/>
          <w:sz w:val="20"/>
        </w:rPr>
        <w:t>(excluding</w:t>
      </w:r>
      <w:r>
        <w:rPr>
          <w:color w:val="231F20"/>
          <w:spacing w:val="40"/>
          <w:sz w:val="20"/>
        </w:rPr>
        <w:t> </w:t>
      </w:r>
      <w:r>
        <w:rPr>
          <w:color w:val="231F20"/>
          <w:sz w:val="20"/>
        </w:rPr>
        <w:t>waste</w:t>
      </w:r>
      <w:r>
        <w:rPr>
          <w:color w:val="231F20"/>
          <w:spacing w:val="40"/>
          <w:sz w:val="20"/>
        </w:rPr>
        <w:t> </w:t>
      </w:r>
      <w:r>
        <w:rPr>
          <w:color w:val="231F20"/>
          <w:sz w:val="20"/>
        </w:rPr>
        <w:t>plastics);</w:t>
      </w:r>
      <w:r>
        <w:rPr>
          <w:color w:val="231F20"/>
          <w:spacing w:val="40"/>
          <w:sz w:val="20"/>
        </w:rPr>
        <w:t> </w:t>
      </w:r>
      <w:r>
        <w:rPr>
          <w:color w:val="231F20"/>
          <w:sz w:val="20"/>
        </w:rPr>
        <w:t>design,</w:t>
      </w:r>
      <w:r>
        <w:rPr>
          <w:color w:val="231F20"/>
          <w:spacing w:val="40"/>
          <w:sz w:val="20"/>
        </w:rPr>
        <w:t> </w:t>
      </w:r>
      <w:r>
        <w:rPr>
          <w:color w:val="231F20"/>
          <w:sz w:val="20"/>
        </w:rPr>
        <w:t>production,</w:t>
      </w:r>
      <w:r>
        <w:rPr>
          <w:color w:val="231F20"/>
          <w:spacing w:val="40"/>
          <w:sz w:val="20"/>
        </w:rPr>
        <w:t> </w:t>
      </w:r>
      <w:r>
        <w:rPr>
          <w:color w:val="231F20"/>
          <w:sz w:val="20"/>
        </w:rPr>
        <w:t>agency,</w:t>
      </w:r>
      <w:r>
        <w:rPr>
          <w:color w:val="231F20"/>
          <w:spacing w:val="40"/>
          <w:sz w:val="20"/>
        </w:rPr>
        <w:t> </w:t>
      </w:r>
      <w:r>
        <w:rPr>
          <w:color w:val="231F20"/>
          <w:sz w:val="20"/>
        </w:rPr>
        <w:t>and</w:t>
      </w:r>
      <w:r>
        <w:rPr>
          <w:color w:val="231F20"/>
          <w:spacing w:val="40"/>
          <w:sz w:val="20"/>
        </w:rPr>
        <w:t> </w:t>
      </w:r>
      <w:r>
        <w:rPr>
          <w:color w:val="231F20"/>
          <w:sz w:val="20"/>
        </w:rPr>
        <w:t>distribution of domestic advertisements; import and export of goods and technology. (Business activities subject to approval according to law may be carried out only after</w:t>
      </w:r>
      <w:r>
        <w:rPr>
          <w:color w:val="231F20"/>
          <w:spacing w:val="80"/>
          <w:sz w:val="20"/>
        </w:rPr>
        <w:t> </w:t>
      </w:r>
      <w:r>
        <w:rPr>
          <w:color w:val="231F20"/>
          <w:sz w:val="20"/>
        </w:rPr>
        <w:t>approval by relevant departments)</w:t>
      </w:r>
    </w:p>
    <w:p>
      <w:pPr>
        <w:pStyle w:val="BodyText"/>
        <w:spacing w:before="46"/>
      </w:pPr>
    </w:p>
    <w:p>
      <w:pPr>
        <w:pStyle w:val="ListParagraph"/>
        <w:numPr>
          <w:ilvl w:val="1"/>
          <w:numId w:val="8"/>
        </w:numPr>
        <w:tabs>
          <w:tab w:pos="2410" w:val="left" w:leader="none"/>
        </w:tabs>
        <w:spacing w:line="292" w:lineRule="auto" w:before="0" w:after="0"/>
        <w:ind w:left="2410" w:right="135" w:hanging="567"/>
        <w:jc w:val="both"/>
        <w:rPr>
          <w:sz w:val="20"/>
        </w:rPr>
      </w:pPr>
      <w:r>
        <w:rPr>
          <w:color w:val="231F20"/>
          <w:sz w:val="20"/>
        </w:rPr>
        <w:t>Related party relationship or business association with the Company: a </w:t>
      </w:r>
      <w:r>
        <w:rPr>
          <w:color w:val="231F20"/>
          <w:sz w:val="20"/>
        </w:rPr>
        <w:t>wholly- owned subsidiary of the Company</w:t>
      </w:r>
    </w:p>
    <w:p>
      <w:pPr>
        <w:pStyle w:val="BodyText"/>
        <w:spacing w:before="49"/>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Key</w:t>
      </w:r>
      <w:r>
        <w:rPr>
          <w:color w:val="231F20"/>
          <w:spacing w:val="29"/>
          <w:sz w:val="20"/>
        </w:rPr>
        <w:t> </w:t>
      </w:r>
      <w:r>
        <w:rPr>
          <w:color w:val="231F20"/>
          <w:sz w:val="20"/>
        </w:rPr>
        <w:t>financial</w:t>
      </w:r>
      <w:r>
        <w:rPr>
          <w:color w:val="231F20"/>
          <w:spacing w:val="30"/>
          <w:sz w:val="20"/>
        </w:rPr>
        <w:t> </w:t>
      </w:r>
      <w:r>
        <w:rPr>
          <w:color w:val="231F20"/>
          <w:sz w:val="20"/>
        </w:rPr>
        <w:t>data</w:t>
      </w:r>
      <w:r>
        <w:rPr>
          <w:color w:val="231F20"/>
          <w:spacing w:val="30"/>
          <w:sz w:val="20"/>
        </w:rPr>
        <w:t> </w:t>
      </w:r>
      <w:r>
        <w:rPr>
          <w:color w:val="231F20"/>
          <w:sz w:val="20"/>
        </w:rPr>
        <w:t>for</w:t>
      </w:r>
      <w:r>
        <w:rPr>
          <w:color w:val="231F20"/>
          <w:spacing w:val="29"/>
          <w:sz w:val="20"/>
        </w:rPr>
        <w:t> </w:t>
      </w:r>
      <w:r>
        <w:rPr>
          <w:color w:val="231F20"/>
          <w:sz w:val="20"/>
        </w:rPr>
        <w:t>the</w:t>
      </w:r>
      <w:r>
        <w:rPr>
          <w:color w:val="231F20"/>
          <w:spacing w:val="30"/>
          <w:sz w:val="20"/>
        </w:rPr>
        <w:t> </w:t>
      </w:r>
      <w:r>
        <w:rPr>
          <w:color w:val="231F20"/>
          <w:sz w:val="20"/>
        </w:rPr>
        <w:t>latest</w:t>
      </w:r>
      <w:r>
        <w:rPr>
          <w:color w:val="231F20"/>
          <w:spacing w:val="30"/>
          <w:sz w:val="20"/>
        </w:rPr>
        <w:t> </w:t>
      </w:r>
      <w:r>
        <w:rPr>
          <w:color w:val="231F20"/>
          <w:sz w:val="20"/>
        </w:rPr>
        <w:t>financial</w:t>
      </w:r>
      <w:r>
        <w:rPr>
          <w:color w:val="231F20"/>
          <w:spacing w:val="29"/>
          <w:sz w:val="20"/>
        </w:rPr>
        <w:t> </w:t>
      </w:r>
      <w:r>
        <w:rPr>
          <w:color w:val="231F20"/>
          <w:sz w:val="20"/>
        </w:rPr>
        <w:t>year</w:t>
      </w:r>
      <w:r>
        <w:rPr>
          <w:color w:val="231F20"/>
          <w:spacing w:val="30"/>
          <w:sz w:val="20"/>
        </w:rPr>
        <w:t> </w:t>
      </w:r>
      <w:r>
        <w:rPr>
          <w:color w:val="231F20"/>
          <w:sz w:val="20"/>
        </w:rPr>
        <w:t>and</w:t>
      </w:r>
      <w:r>
        <w:rPr>
          <w:color w:val="231F20"/>
          <w:spacing w:val="30"/>
          <w:sz w:val="20"/>
        </w:rPr>
        <w:t> </w:t>
      </w:r>
      <w:r>
        <w:rPr>
          <w:color w:val="231F20"/>
          <w:sz w:val="20"/>
        </w:rPr>
        <w:t>the</w:t>
      </w:r>
      <w:r>
        <w:rPr>
          <w:color w:val="231F20"/>
          <w:spacing w:val="29"/>
          <w:sz w:val="20"/>
        </w:rPr>
        <w:t> </w:t>
      </w:r>
      <w:r>
        <w:rPr>
          <w:color w:val="231F20"/>
          <w:sz w:val="20"/>
        </w:rPr>
        <w:t>subsequent</w:t>
      </w:r>
      <w:r>
        <w:rPr>
          <w:color w:val="231F20"/>
          <w:spacing w:val="30"/>
          <w:sz w:val="20"/>
        </w:rPr>
        <w:t> </w:t>
      </w:r>
      <w:r>
        <w:rPr>
          <w:color w:val="231F20"/>
          <w:sz w:val="20"/>
        </w:rPr>
        <w:t>interim</w:t>
      </w:r>
      <w:r>
        <w:rPr>
          <w:color w:val="231F20"/>
          <w:spacing w:val="30"/>
          <w:sz w:val="20"/>
        </w:rPr>
        <w:t> </w:t>
      </w:r>
      <w:r>
        <w:rPr>
          <w:color w:val="231F20"/>
          <w:spacing w:val="-2"/>
          <w:sz w:val="20"/>
        </w:rPr>
        <w:t>period</w:t>
      </w:r>
    </w:p>
    <w:p>
      <w:pPr>
        <w:pStyle w:val="BodyText"/>
        <w:spacing w:before="10"/>
        <w:rPr>
          <w:sz w:val="19"/>
        </w:rPr>
      </w:pPr>
    </w:p>
    <w:p>
      <w:pPr>
        <w:pStyle w:val="BodyText"/>
        <w:spacing w:after="0"/>
        <w:rPr>
          <w:sz w:val="19"/>
        </w:rPr>
        <w:sectPr>
          <w:pgSz w:w="11910" w:h="15880"/>
          <w:pgMar w:header="567" w:footer="573" w:top="1300" w:bottom="760" w:left="1275" w:right="1275"/>
        </w:sectPr>
      </w:pPr>
    </w:p>
    <w:p>
      <w:pPr>
        <w:pStyle w:val="BodyText"/>
      </w:pPr>
    </w:p>
    <w:p>
      <w:pPr>
        <w:pStyle w:val="BodyText"/>
      </w:pPr>
    </w:p>
    <w:p>
      <w:pPr>
        <w:pStyle w:val="BodyText"/>
      </w:pPr>
    </w:p>
    <w:p>
      <w:pPr>
        <w:pStyle w:val="BodyText"/>
      </w:pPr>
    </w:p>
    <w:p>
      <w:pPr>
        <w:pStyle w:val="BodyText"/>
      </w:pPr>
    </w:p>
    <w:p>
      <w:pPr>
        <w:pStyle w:val="BodyText"/>
      </w:pPr>
    </w:p>
    <w:p>
      <w:pPr>
        <w:pStyle w:val="BodyText"/>
        <w:spacing w:before="171"/>
      </w:pPr>
    </w:p>
    <w:p>
      <w:pPr>
        <w:spacing w:before="1"/>
        <w:ind w:left="0" w:right="38" w:firstLine="0"/>
        <w:jc w:val="right"/>
        <w:rPr>
          <w:b/>
          <w:sz w:val="20"/>
        </w:rPr>
      </w:pPr>
      <w:r>
        <w:rPr>
          <w:b/>
          <w:color w:val="231F20"/>
          <w:spacing w:val="-2"/>
          <w:sz w:val="20"/>
        </w:rPr>
        <w:t>Items</w:t>
      </w:r>
    </w:p>
    <w:p>
      <w:pPr>
        <w:spacing w:line="240" w:lineRule="auto" w:before="151"/>
        <w:rPr>
          <w:b/>
          <w:sz w:val="20"/>
        </w:rPr>
      </w:pPr>
      <w:r>
        <w:rPr/>
        <w:br w:type="column"/>
      </w:r>
      <w:r>
        <w:rPr>
          <w:b/>
          <w:sz w:val="20"/>
        </w:rPr>
      </w:r>
    </w:p>
    <w:p>
      <w:pPr>
        <w:spacing w:line="292" w:lineRule="auto" w:before="1"/>
        <w:ind w:left="2410" w:right="64" w:firstLine="839"/>
        <w:jc w:val="right"/>
        <w:rPr>
          <w:b/>
          <w:sz w:val="20"/>
        </w:rPr>
      </w:pPr>
      <w:r>
        <w:rPr>
          <w:b/>
          <w:color w:val="231F20"/>
          <w:sz w:val="20"/>
        </w:rPr>
        <w:t>As</w:t>
      </w:r>
      <w:r>
        <w:rPr>
          <w:b/>
          <w:color w:val="231F20"/>
          <w:spacing w:val="-11"/>
          <w:sz w:val="20"/>
        </w:rPr>
        <w:t> </w:t>
      </w:r>
      <w:r>
        <w:rPr>
          <w:b/>
          <w:color w:val="231F20"/>
          <w:sz w:val="20"/>
        </w:rPr>
        <w:t>at June 30, 2025/ For the period from January to June 2025</w:t>
      </w:r>
    </w:p>
    <w:p>
      <w:pPr>
        <w:spacing w:line="227" w:lineRule="exact" w:before="0"/>
        <w:ind w:left="0" w:right="0" w:firstLine="0"/>
        <w:jc w:val="right"/>
        <w:rPr>
          <w:b/>
          <w:sz w:val="20"/>
        </w:rPr>
      </w:pPr>
      <w:r>
        <w:rPr>
          <w:b/>
          <w:color w:val="231F20"/>
          <w:spacing w:val="-2"/>
          <w:sz w:val="20"/>
        </w:rPr>
        <w:t>(Unaudited)</w:t>
      </w:r>
    </w:p>
    <w:p>
      <w:pPr>
        <w:spacing w:line="292" w:lineRule="auto" w:before="102"/>
        <w:ind w:left="146" w:right="135" w:firstLine="983"/>
        <w:jc w:val="right"/>
        <w:rPr>
          <w:b/>
          <w:sz w:val="20"/>
        </w:rPr>
      </w:pPr>
      <w:r>
        <w:rPr/>
        <w:br w:type="column"/>
      </w:r>
      <w:r>
        <w:rPr>
          <w:b/>
          <w:color w:val="231F20"/>
          <w:sz w:val="20"/>
        </w:rPr>
        <w:t>As</w:t>
      </w:r>
      <w:r>
        <w:rPr>
          <w:b/>
          <w:color w:val="231F20"/>
          <w:spacing w:val="-8"/>
          <w:sz w:val="20"/>
        </w:rPr>
        <w:t> </w:t>
      </w:r>
      <w:r>
        <w:rPr>
          <w:b/>
          <w:color w:val="231F20"/>
          <w:sz w:val="20"/>
        </w:rPr>
        <w:t>at December 31, 2024/For period from</w:t>
      </w:r>
      <w:r>
        <w:rPr>
          <w:b/>
          <w:color w:val="231F20"/>
          <w:spacing w:val="29"/>
          <w:sz w:val="20"/>
        </w:rPr>
        <w:t> </w:t>
      </w:r>
      <w:r>
        <w:rPr>
          <w:b/>
          <w:color w:val="231F20"/>
          <w:sz w:val="20"/>
        </w:rPr>
        <w:t>January</w:t>
      </w:r>
      <w:r>
        <w:rPr>
          <w:b/>
          <w:color w:val="231F20"/>
          <w:spacing w:val="80"/>
          <w:sz w:val="20"/>
        </w:rPr>
        <w:t> </w:t>
      </w:r>
      <w:r>
        <w:rPr>
          <w:b/>
          <w:color w:val="231F20"/>
          <w:sz w:val="20"/>
        </w:rPr>
        <w:t>to December</w:t>
      </w:r>
    </w:p>
    <w:p>
      <w:pPr>
        <w:spacing w:line="227" w:lineRule="exact" w:before="0"/>
        <w:ind w:left="0" w:right="135" w:firstLine="0"/>
        <w:jc w:val="right"/>
        <w:rPr>
          <w:b/>
          <w:sz w:val="20"/>
        </w:rPr>
      </w:pPr>
      <w:r>
        <w:rPr>
          <w:b/>
          <w:color w:val="231F20"/>
          <w:spacing w:val="-4"/>
          <w:sz w:val="20"/>
        </w:rPr>
        <w:t>2024</w:t>
      </w:r>
    </w:p>
    <w:p>
      <w:pPr>
        <w:spacing w:before="50"/>
        <w:ind w:left="0" w:right="68" w:firstLine="0"/>
        <w:jc w:val="right"/>
        <w:rPr>
          <w:b/>
          <w:sz w:val="20"/>
        </w:rPr>
      </w:pPr>
      <w:r>
        <w:rPr>
          <w:b/>
          <w:color w:val="231F20"/>
          <w:spacing w:val="-2"/>
          <w:sz w:val="20"/>
        </w:rPr>
        <w:t>(Audited)</w:t>
      </w:r>
    </w:p>
    <w:p>
      <w:pPr>
        <w:spacing w:after="0"/>
        <w:jc w:val="right"/>
        <w:rPr>
          <w:b/>
          <w:sz w:val="20"/>
        </w:rPr>
        <w:sectPr>
          <w:type w:val="continuous"/>
          <w:pgSz w:w="11910" w:h="15880"/>
          <w:pgMar w:header="567" w:footer="573" w:top="1300" w:bottom="280" w:left="1275" w:right="1275"/>
          <w:cols w:num="3" w:equalWidth="0">
            <w:col w:w="2953" w:space="851"/>
            <w:col w:w="3780" w:space="40"/>
            <w:col w:w="1736"/>
          </w:cols>
        </w:sectPr>
      </w:pPr>
    </w:p>
    <w:p>
      <w:pPr>
        <w:pStyle w:val="Heading4"/>
        <w:tabs>
          <w:tab w:pos="1700" w:val="left" w:leader="none"/>
        </w:tabs>
        <w:rPr>
          <w:i/>
        </w:rPr>
      </w:pPr>
      <w:r>
        <w:rPr>
          <w:i/>
          <w:color w:val="231F20"/>
          <w:spacing w:val="-2"/>
          <w:w w:val="105"/>
        </w:rPr>
        <w:t>(RMB)</w:t>
      </w:r>
      <w:r>
        <w:rPr>
          <w:i/>
          <w:color w:val="231F20"/>
        </w:rPr>
        <w:tab/>
      </w:r>
      <w:r>
        <w:rPr>
          <w:i/>
          <w:color w:val="231F20"/>
          <w:spacing w:val="-2"/>
          <w:w w:val="105"/>
        </w:rPr>
        <w:t>(RMB)</w:t>
      </w:r>
    </w:p>
    <w:p>
      <w:pPr>
        <w:pStyle w:val="BodyText"/>
        <w:spacing w:before="99"/>
        <w:rPr>
          <w:b/>
          <w:i/>
        </w:rPr>
      </w:pPr>
    </w:p>
    <w:p>
      <w:pPr>
        <w:pStyle w:val="BodyText"/>
        <w:tabs>
          <w:tab w:pos="6302" w:val="left" w:leader="none"/>
          <w:tab w:pos="7898" w:val="left" w:leader="none"/>
        </w:tabs>
        <w:spacing w:before="1"/>
        <w:ind w:left="2410"/>
      </w:pPr>
      <w:r>
        <w:rPr>
          <w:color w:val="231F20"/>
        </w:rPr>
        <w:t>Total</w:t>
      </w:r>
      <w:r>
        <w:rPr>
          <w:color w:val="231F20"/>
          <w:spacing w:val="30"/>
        </w:rPr>
        <w:t> </w:t>
      </w:r>
      <w:r>
        <w:rPr>
          <w:color w:val="231F20"/>
          <w:spacing w:val="-2"/>
        </w:rPr>
        <w:t>assets</w:t>
      </w:r>
      <w:r>
        <w:rPr>
          <w:color w:val="231F20"/>
        </w:rPr>
        <w:tab/>
      </w:r>
      <w:r>
        <w:rPr>
          <w:color w:val="231F20"/>
          <w:spacing w:val="-2"/>
        </w:rPr>
        <w:t>91,523,833.24</w:t>
      </w:r>
      <w:r>
        <w:rPr>
          <w:color w:val="231F20"/>
        </w:rPr>
        <w:tab/>
      </w:r>
      <w:r>
        <w:rPr>
          <w:color w:val="231F20"/>
          <w:spacing w:val="-2"/>
        </w:rPr>
        <w:t>111,179,174.37</w:t>
      </w:r>
    </w:p>
    <w:p>
      <w:pPr>
        <w:pStyle w:val="BodyText"/>
        <w:tabs>
          <w:tab w:pos="6302" w:val="left" w:leader="none"/>
          <w:tab w:pos="8003" w:val="left" w:leader="none"/>
        </w:tabs>
        <w:spacing w:before="50"/>
        <w:ind w:left="2410"/>
      </w:pPr>
      <w:r>
        <w:rPr>
          <w:color w:val="231F20"/>
        </w:rPr>
        <w:t>Total</w:t>
      </w:r>
      <w:r>
        <w:rPr>
          <w:color w:val="231F20"/>
          <w:spacing w:val="30"/>
        </w:rPr>
        <w:t> </w:t>
      </w:r>
      <w:r>
        <w:rPr>
          <w:color w:val="231F20"/>
          <w:spacing w:val="-2"/>
        </w:rPr>
        <w:t>liabilities</w:t>
      </w:r>
      <w:r>
        <w:rPr>
          <w:color w:val="231F20"/>
        </w:rPr>
        <w:tab/>
      </w:r>
      <w:r>
        <w:rPr>
          <w:color w:val="231F20"/>
          <w:spacing w:val="-2"/>
        </w:rPr>
        <w:t>52,983,767.00</w:t>
      </w:r>
      <w:r>
        <w:rPr>
          <w:color w:val="231F20"/>
        </w:rPr>
        <w:tab/>
      </w:r>
      <w:r>
        <w:rPr>
          <w:color w:val="231F20"/>
          <w:spacing w:val="-2"/>
        </w:rPr>
        <w:t>70,169,303.75</w:t>
      </w:r>
    </w:p>
    <w:p>
      <w:pPr>
        <w:pStyle w:val="BodyText"/>
        <w:tabs>
          <w:tab w:pos="6302" w:val="left" w:leader="none"/>
          <w:tab w:pos="8003" w:val="left" w:leader="none"/>
        </w:tabs>
        <w:spacing w:before="50"/>
        <w:ind w:left="2410"/>
      </w:pPr>
      <w:r>
        <w:rPr>
          <w:color w:val="231F20"/>
        </w:rPr>
        <w:t>Net</w:t>
      </w:r>
      <w:r>
        <w:rPr>
          <w:color w:val="231F20"/>
          <w:spacing w:val="20"/>
        </w:rPr>
        <w:t> </w:t>
      </w:r>
      <w:r>
        <w:rPr>
          <w:color w:val="231F20"/>
          <w:spacing w:val="-2"/>
        </w:rPr>
        <w:t>assets</w:t>
      </w:r>
      <w:r>
        <w:rPr>
          <w:color w:val="231F20"/>
        </w:rPr>
        <w:tab/>
      </w:r>
      <w:r>
        <w:rPr>
          <w:color w:val="231F20"/>
          <w:spacing w:val="-2"/>
        </w:rPr>
        <w:t>38,540,066.24</w:t>
      </w:r>
      <w:r>
        <w:rPr>
          <w:color w:val="231F20"/>
        </w:rPr>
        <w:tab/>
      </w:r>
      <w:r>
        <w:rPr>
          <w:color w:val="231F20"/>
          <w:spacing w:val="-2"/>
        </w:rPr>
        <w:t>41,009,870.62</w:t>
      </w:r>
    </w:p>
    <w:p>
      <w:pPr>
        <w:pStyle w:val="BodyText"/>
        <w:tabs>
          <w:tab w:pos="6302" w:val="left" w:leader="none"/>
          <w:tab w:pos="7898" w:val="left" w:leader="none"/>
        </w:tabs>
        <w:spacing w:before="50"/>
        <w:ind w:left="2410"/>
      </w:pPr>
      <w:r>
        <w:rPr>
          <w:color w:val="231F20"/>
        </w:rPr>
        <w:t>Operating</w:t>
      </w:r>
      <w:r>
        <w:rPr>
          <w:color w:val="231F20"/>
          <w:spacing w:val="50"/>
        </w:rPr>
        <w:t> </w:t>
      </w:r>
      <w:r>
        <w:rPr>
          <w:color w:val="231F20"/>
          <w:spacing w:val="-2"/>
        </w:rPr>
        <w:t>revenue</w:t>
      </w:r>
      <w:r>
        <w:rPr>
          <w:color w:val="231F20"/>
        </w:rPr>
        <w:tab/>
      </w:r>
      <w:r>
        <w:rPr>
          <w:color w:val="231F20"/>
          <w:spacing w:val="-2"/>
        </w:rPr>
        <w:t>48,456,176.95</w:t>
      </w:r>
      <w:r>
        <w:rPr>
          <w:color w:val="231F20"/>
        </w:rPr>
        <w:tab/>
      </w:r>
      <w:r>
        <w:rPr>
          <w:color w:val="231F20"/>
          <w:spacing w:val="-2"/>
        </w:rPr>
        <w:t>131,402,700.82</w:t>
      </w:r>
    </w:p>
    <w:p>
      <w:pPr>
        <w:pStyle w:val="BodyText"/>
        <w:tabs>
          <w:tab w:pos="6335" w:val="left" w:leader="none"/>
          <w:tab w:pos="8196" w:val="left" w:leader="none"/>
        </w:tabs>
        <w:spacing w:before="50"/>
        <w:ind w:left="2410"/>
      </w:pPr>
      <w:r>
        <w:rPr>
          <w:color w:val="231F20"/>
        </w:rPr>
        <w:t>Total</w:t>
      </w:r>
      <w:r>
        <w:rPr>
          <w:color w:val="231F20"/>
          <w:spacing w:val="30"/>
        </w:rPr>
        <w:t> </w:t>
      </w:r>
      <w:r>
        <w:rPr>
          <w:color w:val="231F20"/>
          <w:spacing w:val="-2"/>
        </w:rPr>
        <w:t>profit</w:t>
      </w:r>
      <w:r>
        <w:rPr>
          <w:color w:val="231F20"/>
        </w:rPr>
        <w:tab/>
        <w:t>-</w:t>
      </w:r>
      <w:r>
        <w:rPr>
          <w:color w:val="231F20"/>
          <w:spacing w:val="-2"/>
        </w:rPr>
        <w:t>2,469,804.38</w:t>
      </w:r>
      <w:r>
        <w:rPr>
          <w:color w:val="231F20"/>
        </w:rPr>
        <w:tab/>
        <w:t>-</w:t>
      </w:r>
      <w:r>
        <w:rPr>
          <w:color w:val="231F20"/>
          <w:spacing w:val="-2"/>
        </w:rPr>
        <w:t>835,144.76</w:t>
      </w:r>
    </w:p>
    <w:p>
      <w:pPr>
        <w:pStyle w:val="BodyText"/>
        <w:tabs>
          <w:tab w:pos="6335" w:val="left" w:leader="none"/>
          <w:tab w:pos="8196" w:val="left" w:leader="none"/>
        </w:tabs>
        <w:spacing w:before="50"/>
        <w:ind w:left="2410"/>
      </w:pPr>
      <w:r>
        <w:rPr>
          <w:color w:val="231F20"/>
        </w:rPr>
        <w:t>Net</w:t>
      </w:r>
      <w:r>
        <w:rPr>
          <w:color w:val="231F20"/>
          <w:spacing w:val="20"/>
        </w:rPr>
        <w:t> </w:t>
      </w:r>
      <w:r>
        <w:rPr>
          <w:color w:val="231F20"/>
          <w:spacing w:val="-2"/>
        </w:rPr>
        <w:t>profit</w:t>
      </w:r>
      <w:r>
        <w:rPr>
          <w:color w:val="231F20"/>
        </w:rPr>
        <w:tab/>
        <w:t>-</w:t>
      </w:r>
      <w:r>
        <w:rPr>
          <w:color w:val="231F20"/>
          <w:spacing w:val="-2"/>
        </w:rPr>
        <w:t>2,469,804.38</w:t>
      </w:r>
      <w:r>
        <w:rPr>
          <w:color w:val="231F20"/>
        </w:rPr>
        <w:tab/>
        <w:t>-</w:t>
      </w:r>
      <w:r>
        <w:rPr>
          <w:color w:val="231F20"/>
          <w:spacing w:val="-2"/>
        </w:rPr>
        <w:t>805,323.03</w:t>
      </w:r>
    </w:p>
    <w:p>
      <w:pPr>
        <w:pStyle w:val="BodyText"/>
        <w:spacing w:before="100"/>
      </w:pPr>
    </w:p>
    <w:p>
      <w:pPr>
        <w:pStyle w:val="ListParagraph"/>
        <w:numPr>
          <w:ilvl w:val="1"/>
          <w:numId w:val="8"/>
        </w:numPr>
        <w:tabs>
          <w:tab w:pos="2410" w:val="left" w:leader="none"/>
        </w:tabs>
        <w:spacing w:line="240" w:lineRule="auto" w:before="0" w:after="0"/>
        <w:ind w:left="2410" w:right="0" w:hanging="567"/>
        <w:jc w:val="left"/>
        <w:rPr>
          <w:sz w:val="20"/>
        </w:rPr>
      </w:pPr>
      <w:r>
        <w:rPr>
          <w:color w:val="231F20"/>
          <w:sz w:val="20"/>
        </w:rPr>
        <w:t>Credit</w:t>
      </w:r>
      <w:r>
        <w:rPr>
          <w:color w:val="231F20"/>
          <w:spacing w:val="33"/>
          <w:sz w:val="20"/>
        </w:rPr>
        <w:t> </w:t>
      </w:r>
      <w:r>
        <w:rPr>
          <w:color w:val="231F20"/>
          <w:sz w:val="20"/>
        </w:rPr>
        <w:t>rating:</w:t>
      </w:r>
      <w:r>
        <w:rPr>
          <w:color w:val="231F20"/>
          <w:spacing w:val="34"/>
          <w:sz w:val="20"/>
        </w:rPr>
        <w:t> </w:t>
      </w:r>
      <w:r>
        <w:rPr>
          <w:color w:val="231F20"/>
          <w:sz w:val="20"/>
        </w:rPr>
        <w:t>No</w:t>
      </w:r>
      <w:r>
        <w:rPr>
          <w:color w:val="231F20"/>
          <w:spacing w:val="33"/>
          <w:sz w:val="20"/>
        </w:rPr>
        <w:t> </w:t>
      </w:r>
      <w:r>
        <w:rPr>
          <w:color w:val="231F20"/>
          <w:sz w:val="20"/>
        </w:rPr>
        <w:t>external</w:t>
      </w:r>
      <w:r>
        <w:rPr>
          <w:color w:val="231F20"/>
          <w:spacing w:val="34"/>
          <w:sz w:val="20"/>
        </w:rPr>
        <w:t> </w:t>
      </w:r>
      <w:r>
        <w:rPr>
          <w:color w:val="231F20"/>
          <w:sz w:val="20"/>
        </w:rPr>
        <w:t>credit</w:t>
      </w:r>
      <w:r>
        <w:rPr>
          <w:color w:val="231F20"/>
          <w:spacing w:val="33"/>
          <w:sz w:val="20"/>
        </w:rPr>
        <w:t> </w:t>
      </w:r>
      <w:r>
        <w:rPr>
          <w:color w:val="231F20"/>
          <w:spacing w:val="-2"/>
          <w:sz w:val="20"/>
        </w:rPr>
        <w:t>rating</w:t>
      </w:r>
    </w:p>
    <w:p>
      <w:pPr>
        <w:pStyle w:val="BodyText"/>
        <w:spacing w:before="100"/>
      </w:pPr>
    </w:p>
    <w:p>
      <w:pPr>
        <w:pStyle w:val="BodyText"/>
        <w:ind w:left="2410"/>
      </w:pPr>
      <w:r>
        <w:rPr>
          <w:color w:val="231F20"/>
        </w:rPr>
        <w:t>Upon</w:t>
      </w:r>
      <w:r>
        <w:rPr>
          <w:color w:val="231F20"/>
          <w:spacing w:val="34"/>
        </w:rPr>
        <w:t> </w:t>
      </w:r>
      <w:r>
        <w:rPr>
          <w:color w:val="231F20"/>
        </w:rPr>
        <w:t>verification,</w:t>
      </w:r>
      <w:r>
        <w:rPr>
          <w:color w:val="231F20"/>
          <w:spacing w:val="36"/>
        </w:rPr>
        <w:t> </w:t>
      </w:r>
      <w:r>
        <w:rPr>
          <w:color w:val="231F20"/>
        </w:rPr>
        <w:t>Jinan</w:t>
      </w:r>
      <w:r>
        <w:rPr>
          <w:color w:val="231F20"/>
          <w:spacing w:val="36"/>
        </w:rPr>
        <w:t> </w:t>
      </w:r>
      <w:r>
        <w:rPr>
          <w:color w:val="231F20"/>
        </w:rPr>
        <w:t>Jilian</w:t>
      </w:r>
      <w:r>
        <w:rPr>
          <w:color w:val="231F20"/>
          <w:spacing w:val="35"/>
        </w:rPr>
        <w:t> </w:t>
      </w:r>
      <w:r>
        <w:rPr>
          <w:color w:val="231F20"/>
        </w:rPr>
        <w:t>is</w:t>
      </w:r>
      <w:r>
        <w:rPr>
          <w:color w:val="231F20"/>
          <w:spacing w:val="36"/>
        </w:rPr>
        <w:t> </w:t>
      </w:r>
      <w:r>
        <w:rPr>
          <w:color w:val="231F20"/>
        </w:rPr>
        <w:t>not</w:t>
      </w:r>
      <w:r>
        <w:rPr>
          <w:color w:val="231F20"/>
          <w:spacing w:val="36"/>
        </w:rPr>
        <w:t> </w:t>
      </w:r>
      <w:r>
        <w:rPr>
          <w:color w:val="231F20"/>
        </w:rPr>
        <w:t>an</w:t>
      </w:r>
      <w:r>
        <w:rPr>
          <w:color w:val="231F20"/>
          <w:spacing w:val="35"/>
        </w:rPr>
        <w:t> </w:t>
      </w:r>
      <w:r>
        <w:rPr>
          <w:color w:val="231F20"/>
        </w:rPr>
        <w:t>untrustworthy</w:t>
      </w:r>
      <w:r>
        <w:rPr>
          <w:color w:val="231F20"/>
          <w:spacing w:val="36"/>
        </w:rPr>
        <w:t> </w:t>
      </w:r>
      <w:r>
        <w:rPr>
          <w:color w:val="231F20"/>
        </w:rPr>
        <w:t>judgment</w:t>
      </w:r>
      <w:r>
        <w:rPr>
          <w:color w:val="231F20"/>
          <w:spacing w:val="36"/>
        </w:rPr>
        <w:t> </w:t>
      </w:r>
      <w:r>
        <w:rPr>
          <w:color w:val="231F20"/>
          <w:spacing w:val="-2"/>
        </w:rPr>
        <w:t>defaulter.</w:t>
      </w:r>
    </w:p>
    <w:p>
      <w:pPr>
        <w:pStyle w:val="BodyText"/>
        <w:spacing w:after="0"/>
        <w:sectPr>
          <w:type w:val="continuous"/>
          <w:pgSz w:w="11910" w:h="15880"/>
          <w:pgMar w:header="567" w:footer="573" w:top="1300" w:bottom="280" w:left="1275" w:right="1275"/>
        </w:sectPr>
      </w:pPr>
    </w:p>
    <w:p>
      <w:pPr>
        <w:pStyle w:val="BodyText"/>
        <w:spacing w:before="93"/>
      </w:pPr>
    </w:p>
    <w:p>
      <w:pPr>
        <w:pStyle w:val="Heading5"/>
        <w:numPr>
          <w:ilvl w:val="0"/>
          <w:numId w:val="8"/>
        </w:numPr>
        <w:tabs>
          <w:tab w:pos="1843" w:val="left" w:leader="none"/>
        </w:tabs>
        <w:spacing w:line="240" w:lineRule="auto" w:before="0" w:after="0"/>
        <w:ind w:left="1843" w:right="0" w:hanging="567"/>
        <w:jc w:val="left"/>
        <w:rPr>
          <w:i/>
        </w:rPr>
      </w:pPr>
      <w:r>
        <w:rPr>
          <w:i/>
          <w:color w:val="231F20"/>
        </w:rPr>
        <w:t>Shaanxi</w:t>
      </w:r>
      <w:r>
        <w:rPr>
          <w:i/>
          <w:color w:val="231F20"/>
          <w:spacing w:val="65"/>
        </w:rPr>
        <w:t> </w:t>
      </w:r>
      <w:r>
        <w:rPr>
          <w:i/>
          <w:color w:val="231F20"/>
        </w:rPr>
        <w:t>Jihong</w:t>
      </w:r>
      <w:r>
        <w:rPr>
          <w:i/>
          <w:color w:val="231F20"/>
          <w:spacing w:val="66"/>
        </w:rPr>
        <w:t> </w:t>
      </w:r>
      <w:r>
        <w:rPr>
          <w:i/>
          <w:color w:val="231F20"/>
        </w:rPr>
        <w:t>Packaging</w:t>
      </w:r>
      <w:r>
        <w:rPr>
          <w:i/>
          <w:color w:val="231F20"/>
          <w:spacing w:val="66"/>
        </w:rPr>
        <w:t> </w:t>
      </w:r>
      <w:r>
        <w:rPr>
          <w:i/>
          <w:color w:val="231F20"/>
        </w:rPr>
        <w:t>Limited*</w:t>
      </w:r>
      <w:r>
        <w:rPr>
          <w:i/>
          <w:color w:val="231F20"/>
          <w:spacing w:val="33"/>
        </w:rPr>
        <w:t> (</w:t>
      </w:r>
      <w:r>
        <w:rPr>
          <w:rFonts w:ascii="Microsoft YaHei" w:eastAsia="Microsoft YaHei"/>
          <w:color w:val="231F20"/>
        </w:rPr>
        <w:t>陝西吉宏包裝有限公司</w:t>
      </w:r>
      <w:r>
        <w:rPr>
          <w:i/>
          <w:color w:val="231F20"/>
          <w:spacing w:val="-10"/>
        </w:rPr>
        <w:t>)</w:t>
      </w:r>
    </w:p>
    <w:p>
      <w:pPr>
        <w:pStyle w:val="BodyText"/>
        <w:spacing w:before="38"/>
        <w:rPr>
          <w:b/>
          <w:i/>
        </w:rPr>
      </w:pPr>
    </w:p>
    <w:p>
      <w:pPr>
        <w:pStyle w:val="ListParagraph"/>
        <w:numPr>
          <w:ilvl w:val="1"/>
          <w:numId w:val="8"/>
        </w:numPr>
        <w:tabs>
          <w:tab w:pos="2409" w:val="left" w:leader="none"/>
        </w:tabs>
        <w:spacing w:line="240" w:lineRule="auto" w:before="1" w:after="0"/>
        <w:ind w:left="2409" w:right="0" w:hanging="566"/>
        <w:jc w:val="left"/>
        <w:rPr>
          <w:sz w:val="20"/>
        </w:rPr>
      </w:pPr>
      <w:r>
        <w:rPr>
          <w:color w:val="231F20"/>
          <w:sz w:val="20"/>
        </w:rPr>
        <w:t>Company</w:t>
      </w:r>
      <w:r>
        <w:rPr>
          <w:color w:val="231F20"/>
          <w:spacing w:val="49"/>
          <w:sz w:val="20"/>
        </w:rPr>
        <w:t> </w:t>
      </w:r>
      <w:r>
        <w:rPr>
          <w:color w:val="231F20"/>
          <w:sz w:val="20"/>
        </w:rPr>
        <w:t>name</w:t>
      </w:r>
      <w:r>
        <w:rPr>
          <w:color w:val="231F20"/>
          <w:spacing w:val="24"/>
          <w:sz w:val="20"/>
        </w:rPr>
        <w:t>: </w:t>
      </w:r>
      <w:r>
        <w:rPr>
          <w:color w:val="231F20"/>
          <w:sz w:val="20"/>
        </w:rPr>
        <w:t>Shaanxi</w:t>
      </w:r>
      <w:r>
        <w:rPr>
          <w:color w:val="231F20"/>
          <w:spacing w:val="49"/>
          <w:sz w:val="20"/>
        </w:rPr>
        <w:t> </w:t>
      </w:r>
      <w:r>
        <w:rPr>
          <w:color w:val="231F20"/>
          <w:sz w:val="20"/>
        </w:rPr>
        <w:t>Jihong</w:t>
      </w:r>
      <w:r>
        <w:rPr>
          <w:color w:val="231F20"/>
          <w:spacing w:val="49"/>
          <w:sz w:val="20"/>
        </w:rPr>
        <w:t> </w:t>
      </w:r>
      <w:r>
        <w:rPr>
          <w:color w:val="231F20"/>
          <w:sz w:val="20"/>
        </w:rPr>
        <w:t>Packaging</w:t>
      </w:r>
      <w:r>
        <w:rPr>
          <w:color w:val="231F20"/>
          <w:spacing w:val="49"/>
          <w:sz w:val="20"/>
        </w:rPr>
        <w:t> </w:t>
      </w:r>
      <w:r>
        <w:rPr>
          <w:color w:val="231F20"/>
          <w:sz w:val="20"/>
        </w:rPr>
        <w:t>Limited*</w:t>
      </w:r>
      <w:r>
        <w:rPr>
          <w:color w:val="231F20"/>
          <w:spacing w:val="25"/>
          <w:sz w:val="20"/>
        </w:rPr>
        <w:t> (</w:t>
      </w:r>
      <w:r>
        <w:rPr>
          <w:rFonts w:ascii="新細明體" w:eastAsia="新細明體"/>
          <w:color w:val="231F20"/>
          <w:sz w:val="20"/>
        </w:rPr>
        <w:t>陝西吉宏包裝有限公司</w:t>
      </w:r>
      <w:r>
        <w:rPr>
          <w:color w:val="231F20"/>
          <w:spacing w:val="-10"/>
          <w:sz w:val="20"/>
        </w:rPr>
        <w:t>)</w:t>
      </w:r>
    </w:p>
    <w:p>
      <w:pPr>
        <w:pStyle w:val="BodyText"/>
        <w:spacing w:before="63"/>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Date</w:t>
      </w:r>
      <w:r>
        <w:rPr>
          <w:color w:val="231F20"/>
          <w:spacing w:val="34"/>
          <w:sz w:val="20"/>
        </w:rPr>
        <w:t> </w:t>
      </w:r>
      <w:r>
        <w:rPr>
          <w:color w:val="231F20"/>
          <w:sz w:val="20"/>
        </w:rPr>
        <w:t>of</w:t>
      </w:r>
      <w:r>
        <w:rPr>
          <w:color w:val="231F20"/>
          <w:spacing w:val="34"/>
          <w:sz w:val="20"/>
        </w:rPr>
        <w:t> </w:t>
      </w:r>
      <w:r>
        <w:rPr>
          <w:color w:val="231F20"/>
          <w:sz w:val="20"/>
        </w:rPr>
        <w:t>establishment:</w:t>
      </w:r>
      <w:r>
        <w:rPr>
          <w:color w:val="231F20"/>
          <w:spacing w:val="34"/>
          <w:sz w:val="20"/>
        </w:rPr>
        <w:t> </w:t>
      </w:r>
      <w:r>
        <w:rPr>
          <w:color w:val="231F20"/>
          <w:sz w:val="20"/>
        </w:rPr>
        <w:t>October</w:t>
      </w:r>
      <w:r>
        <w:rPr>
          <w:color w:val="231F20"/>
          <w:spacing w:val="34"/>
          <w:sz w:val="20"/>
        </w:rPr>
        <w:t> </w:t>
      </w:r>
      <w:r>
        <w:rPr>
          <w:color w:val="231F20"/>
          <w:sz w:val="20"/>
        </w:rPr>
        <w:t>8,</w:t>
      </w:r>
      <w:r>
        <w:rPr>
          <w:color w:val="231F20"/>
          <w:spacing w:val="34"/>
          <w:sz w:val="20"/>
        </w:rPr>
        <w:t> </w:t>
      </w:r>
      <w:r>
        <w:rPr>
          <w:color w:val="231F20"/>
          <w:spacing w:val="-4"/>
          <w:sz w:val="20"/>
        </w:rPr>
        <w:t>2021</w:t>
      </w:r>
    </w:p>
    <w:p>
      <w:pPr>
        <w:pStyle w:val="BodyText"/>
        <w:spacing w:before="100"/>
      </w:pPr>
    </w:p>
    <w:p>
      <w:pPr>
        <w:pStyle w:val="ListParagraph"/>
        <w:numPr>
          <w:ilvl w:val="1"/>
          <w:numId w:val="8"/>
        </w:numPr>
        <w:tabs>
          <w:tab w:pos="2410" w:val="left" w:leader="none"/>
        </w:tabs>
        <w:spacing w:line="292" w:lineRule="auto" w:before="0" w:after="0"/>
        <w:ind w:left="2410" w:right="134" w:hanging="567"/>
        <w:jc w:val="both"/>
        <w:rPr>
          <w:sz w:val="20"/>
        </w:rPr>
      </w:pPr>
      <w:r>
        <w:rPr>
          <w:color w:val="231F20"/>
          <w:sz w:val="20"/>
        </w:rPr>
        <w:t>Place</w:t>
      </w:r>
      <w:r>
        <w:rPr>
          <w:color w:val="231F20"/>
          <w:spacing w:val="40"/>
          <w:sz w:val="20"/>
        </w:rPr>
        <w:t> </w:t>
      </w:r>
      <w:r>
        <w:rPr>
          <w:color w:val="231F20"/>
          <w:sz w:val="20"/>
        </w:rPr>
        <w:t>of</w:t>
      </w:r>
      <w:r>
        <w:rPr>
          <w:color w:val="231F20"/>
          <w:spacing w:val="40"/>
          <w:sz w:val="20"/>
        </w:rPr>
        <w:t> </w:t>
      </w:r>
      <w:r>
        <w:rPr>
          <w:color w:val="231F20"/>
          <w:sz w:val="20"/>
        </w:rPr>
        <w:t>registration:</w:t>
      </w:r>
      <w:r>
        <w:rPr>
          <w:color w:val="231F20"/>
          <w:spacing w:val="40"/>
          <w:sz w:val="20"/>
        </w:rPr>
        <w:t> </w:t>
      </w:r>
      <w:r>
        <w:rPr>
          <w:color w:val="231F20"/>
          <w:sz w:val="20"/>
        </w:rPr>
        <w:t>Northeast</w:t>
      </w:r>
      <w:r>
        <w:rPr>
          <w:color w:val="231F20"/>
          <w:spacing w:val="40"/>
          <w:sz w:val="20"/>
        </w:rPr>
        <w:t> </w:t>
      </w:r>
      <w:r>
        <w:rPr>
          <w:color w:val="231F20"/>
          <w:sz w:val="20"/>
        </w:rPr>
        <w:t>corner</w:t>
      </w:r>
      <w:r>
        <w:rPr>
          <w:color w:val="231F20"/>
          <w:spacing w:val="40"/>
          <w:sz w:val="20"/>
        </w:rPr>
        <w:t> </w:t>
      </w:r>
      <w:r>
        <w:rPr>
          <w:color w:val="231F20"/>
          <w:sz w:val="20"/>
        </w:rPr>
        <w:t>of</w:t>
      </w:r>
      <w:r>
        <w:rPr>
          <w:color w:val="231F20"/>
          <w:spacing w:val="40"/>
          <w:sz w:val="20"/>
        </w:rPr>
        <w:t> </w:t>
      </w:r>
      <w:r>
        <w:rPr>
          <w:color w:val="231F20"/>
          <w:sz w:val="20"/>
        </w:rPr>
        <w:t>Sanfang</w:t>
      </w:r>
      <w:r>
        <w:rPr>
          <w:color w:val="231F20"/>
          <w:spacing w:val="40"/>
          <w:sz w:val="20"/>
        </w:rPr>
        <w:t> </w:t>
      </w:r>
      <w:r>
        <w:rPr>
          <w:color w:val="231F20"/>
          <w:sz w:val="20"/>
        </w:rPr>
        <w:t>Road</w:t>
      </w:r>
      <w:r>
        <w:rPr>
          <w:color w:val="231F20"/>
          <w:spacing w:val="40"/>
          <w:sz w:val="20"/>
        </w:rPr>
        <w:t> </w:t>
      </w:r>
      <w:r>
        <w:rPr>
          <w:color w:val="231F20"/>
          <w:sz w:val="20"/>
        </w:rPr>
        <w:t>and</w:t>
      </w:r>
      <w:r>
        <w:rPr>
          <w:color w:val="231F20"/>
          <w:spacing w:val="40"/>
          <w:sz w:val="20"/>
        </w:rPr>
        <w:t> </w:t>
      </w:r>
      <w:r>
        <w:rPr>
          <w:color w:val="231F20"/>
          <w:sz w:val="20"/>
        </w:rPr>
        <w:t>Guanzhong</w:t>
      </w:r>
      <w:r>
        <w:rPr>
          <w:color w:val="231F20"/>
          <w:spacing w:val="40"/>
          <w:sz w:val="20"/>
        </w:rPr>
        <w:t> </w:t>
      </w:r>
      <w:r>
        <w:rPr>
          <w:color w:val="231F20"/>
          <w:sz w:val="20"/>
        </w:rPr>
        <w:t>Ring Road Crossing, Food Industrial Park, Sanyuan County, Xianyang City, Shaanxi </w:t>
      </w:r>
      <w:r>
        <w:rPr>
          <w:color w:val="231F20"/>
          <w:spacing w:val="-2"/>
          <w:sz w:val="20"/>
        </w:rPr>
        <w:t>Province</w:t>
      </w:r>
    </w:p>
    <w:p>
      <w:pPr>
        <w:pStyle w:val="BodyText"/>
        <w:spacing w:before="48"/>
      </w:pPr>
    </w:p>
    <w:p>
      <w:pPr>
        <w:pStyle w:val="ListParagraph"/>
        <w:numPr>
          <w:ilvl w:val="1"/>
          <w:numId w:val="8"/>
        </w:numPr>
        <w:tabs>
          <w:tab w:pos="2409" w:val="left" w:leader="none"/>
        </w:tabs>
        <w:spacing w:line="240" w:lineRule="auto" w:before="0" w:after="0"/>
        <w:ind w:left="2409" w:right="0" w:hanging="566"/>
        <w:jc w:val="left"/>
        <w:rPr>
          <w:sz w:val="20"/>
        </w:rPr>
      </w:pPr>
      <w:r>
        <w:rPr>
          <w:color w:val="231F20"/>
          <w:sz w:val="20"/>
        </w:rPr>
        <w:t>Registered</w:t>
      </w:r>
      <w:r>
        <w:rPr>
          <w:color w:val="231F20"/>
          <w:spacing w:val="43"/>
          <w:sz w:val="20"/>
        </w:rPr>
        <w:t> </w:t>
      </w:r>
      <w:r>
        <w:rPr>
          <w:color w:val="231F20"/>
          <w:sz w:val="20"/>
        </w:rPr>
        <w:t>capital:</w:t>
      </w:r>
      <w:r>
        <w:rPr>
          <w:color w:val="231F20"/>
          <w:spacing w:val="43"/>
          <w:sz w:val="20"/>
        </w:rPr>
        <w:t> </w:t>
      </w:r>
      <w:r>
        <w:rPr>
          <w:color w:val="231F20"/>
          <w:sz w:val="20"/>
        </w:rPr>
        <w:t>RMB20</w:t>
      </w:r>
      <w:r>
        <w:rPr>
          <w:color w:val="231F20"/>
          <w:spacing w:val="44"/>
          <w:sz w:val="20"/>
        </w:rPr>
        <w:t> </w:t>
      </w:r>
      <w:r>
        <w:rPr>
          <w:color w:val="231F20"/>
          <w:spacing w:val="-2"/>
          <w:sz w:val="20"/>
        </w:rPr>
        <w:t>million</w:t>
      </w:r>
    </w:p>
    <w:p>
      <w:pPr>
        <w:pStyle w:val="BodyText"/>
        <w:spacing w:before="100"/>
      </w:pPr>
    </w:p>
    <w:p>
      <w:pPr>
        <w:pStyle w:val="ListParagraph"/>
        <w:numPr>
          <w:ilvl w:val="1"/>
          <w:numId w:val="8"/>
        </w:numPr>
        <w:tabs>
          <w:tab w:pos="2409" w:val="left" w:leader="none"/>
        </w:tabs>
        <w:spacing w:line="240" w:lineRule="auto" w:before="1" w:after="0"/>
        <w:ind w:left="2409" w:right="0" w:hanging="566"/>
        <w:jc w:val="left"/>
        <w:rPr>
          <w:sz w:val="20"/>
        </w:rPr>
      </w:pPr>
      <w:r>
        <w:rPr>
          <w:color w:val="231F20"/>
          <w:sz w:val="20"/>
        </w:rPr>
        <w:t>Legal</w:t>
      </w:r>
      <w:r>
        <w:rPr>
          <w:color w:val="231F20"/>
          <w:spacing w:val="46"/>
          <w:sz w:val="20"/>
        </w:rPr>
        <w:t> </w:t>
      </w:r>
      <w:r>
        <w:rPr>
          <w:color w:val="231F20"/>
          <w:sz w:val="20"/>
        </w:rPr>
        <w:t>representative:</w:t>
      </w:r>
      <w:r>
        <w:rPr>
          <w:color w:val="231F20"/>
          <w:spacing w:val="47"/>
          <w:sz w:val="20"/>
        </w:rPr>
        <w:t> </w:t>
      </w:r>
      <w:r>
        <w:rPr>
          <w:color w:val="231F20"/>
          <w:sz w:val="20"/>
        </w:rPr>
        <w:t>Zhang</w:t>
      </w:r>
      <w:r>
        <w:rPr>
          <w:color w:val="231F20"/>
          <w:spacing w:val="47"/>
          <w:sz w:val="20"/>
        </w:rPr>
        <w:t> </w:t>
      </w:r>
      <w:r>
        <w:rPr>
          <w:color w:val="231F20"/>
          <w:spacing w:val="-2"/>
          <w:sz w:val="20"/>
        </w:rPr>
        <w:t>Heping</w:t>
      </w:r>
    </w:p>
    <w:p>
      <w:pPr>
        <w:pStyle w:val="BodyText"/>
        <w:spacing w:before="99"/>
      </w:pPr>
    </w:p>
    <w:p>
      <w:pPr>
        <w:pStyle w:val="ListParagraph"/>
        <w:numPr>
          <w:ilvl w:val="1"/>
          <w:numId w:val="8"/>
        </w:numPr>
        <w:tabs>
          <w:tab w:pos="2410" w:val="left" w:leader="none"/>
        </w:tabs>
        <w:spacing w:line="292" w:lineRule="auto" w:before="1" w:after="0"/>
        <w:ind w:left="2410" w:right="130" w:hanging="567"/>
        <w:jc w:val="both"/>
        <w:rPr>
          <w:sz w:val="20"/>
        </w:rPr>
      </w:pPr>
      <w:r>
        <w:rPr>
          <w:color w:val="231F20"/>
          <w:sz w:val="20"/>
        </w:rPr>
        <w:t>Scope of business: general items: manufacturing of paper products; manufacturing</w:t>
      </w:r>
      <w:r>
        <w:rPr>
          <w:color w:val="231F20"/>
          <w:spacing w:val="40"/>
          <w:sz w:val="20"/>
        </w:rPr>
        <w:t> </w:t>
      </w:r>
      <w:r>
        <w:rPr>
          <w:color w:val="231F20"/>
          <w:sz w:val="20"/>
        </w:rPr>
        <w:t>of paper and paperboard containers; sales of paper products; professional design services; advertising design and agency; technical services, technical </w:t>
      </w:r>
      <w:r>
        <w:rPr>
          <w:color w:val="231F20"/>
          <w:sz w:val="20"/>
        </w:rPr>
        <w:t>development, technical consulting, technical exchange, technology transfer, and technology promotion; graphic design; graphic and text design and production; import and export of technologies; import and export agency; import and export of goods; advertising production; marketing planning; internet sales (excluding sales of licensed goods); sales of plastic packaging containers and tools for food use; manufacturing of plastic products; sales of plastic products; sales of packaging specialized equipment; machinery and equipment leasing (except for business activities subject to approval according to law, business activities may be carried</w:t>
      </w:r>
      <w:r>
        <w:rPr>
          <w:color w:val="231F20"/>
          <w:spacing w:val="80"/>
          <w:w w:val="150"/>
          <w:sz w:val="20"/>
        </w:rPr>
        <w:t> </w:t>
      </w:r>
      <w:r>
        <w:rPr>
          <w:color w:val="231F20"/>
          <w:sz w:val="20"/>
        </w:rPr>
        <w:t>out independently based on business licenses). Licensed business activities: Printing of packaging and decoration printed materials; production of paper packaging and container products for food use; production of plastic packaging containers and</w:t>
      </w:r>
      <w:r>
        <w:rPr>
          <w:color w:val="231F20"/>
          <w:spacing w:val="80"/>
          <w:sz w:val="20"/>
        </w:rPr>
        <w:t> </w:t>
      </w:r>
      <w:r>
        <w:rPr>
          <w:color w:val="231F20"/>
          <w:sz w:val="20"/>
        </w:rPr>
        <w:t>tools for food use; printing of specific printed materials (Business activities subject</w:t>
      </w:r>
      <w:r>
        <w:rPr>
          <w:color w:val="231F20"/>
          <w:spacing w:val="40"/>
          <w:sz w:val="20"/>
        </w:rPr>
        <w:t> </w:t>
      </w:r>
      <w:r>
        <w:rPr>
          <w:color w:val="231F20"/>
          <w:sz w:val="20"/>
        </w:rPr>
        <w:t>to approval according to law may be carried out only after approval by relevant departments,</w:t>
      </w:r>
      <w:r>
        <w:rPr>
          <w:color w:val="231F20"/>
          <w:spacing w:val="40"/>
          <w:sz w:val="20"/>
        </w:rPr>
        <w:t> </w:t>
      </w:r>
      <w:r>
        <w:rPr>
          <w:color w:val="231F20"/>
          <w:sz w:val="20"/>
        </w:rPr>
        <w:t>specific</w:t>
      </w:r>
      <w:r>
        <w:rPr>
          <w:color w:val="231F20"/>
          <w:spacing w:val="40"/>
          <w:sz w:val="20"/>
        </w:rPr>
        <w:t> </w:t>
      </w:r>
      <w:r>
        <w:rPr>
          <w:color w:val="231F20"/>
          <w:sz w:val="20"/>
        </w:rPr>
        <w:t>scope</w:t>
      </w:r>
      <w:r>
        <w:rPr>
          <w:color w:val="231F20"/>
          <w:spacing w:val="40"/>
          <w:sz w:val="20"/>
        </w:rPr>
        <w:t> </w:t>
      </w:r>
      <w:r>
        <w:rPr>
          <w:color w:val="231F20"/>
          <w:sz w:val="20"/>
        </w:rPr>
        <w:t>of</w:t>
      </w:r>
      <w:r>
        <w:rPr>
          <w:color w:val="231F20"/>
          <w:spacing w:val="40"/>
          <w:sz w:val="20"/>
        </w:rPr>
        <w:t> </w:t>
      </w:r>
      <w:r>
        <w:rPr>
          <w:color w:val="231F20"/>
          <w:sz w:val="20"/>
        </w:rPr>
        <w:t>business</w:t>
      </w:r>
      <w:r>
        <w:rPr>
          <w:color w:val="231F20"/>
          <w:spacing w:val="40"/>
          <w:sz w:val="20"/>
        </w:rPr>
        <w:t> </w:t>
      </w:r>
      <w:r>
        <w:rPr>
          <w:color w:val="231F20"/>
          <w:sz w:val="20"/>
        </w:rPr>
        <w:t>is</w:t>
      </w:r>
      <w:r>
        <w:rPr>
          <w:color w:val="231F20"/>
          <w:spacing w:val="40"/>
          <w:sz w:val="20"/>
        </w:rPr>
        <w:t> </w:t>
      </w:r>
      <w:r>
        <w:rPr>
          <w:color w:val="231F20"/>
          <w:sz w:val="20"/>
        </w:rPr>
        <w:t>subject</w:t>
      </w:r>
      <w:r>
        <w:rPr>
          <w:color w:val="231F20"/>
          <w:spacing w:val="40"/>
          <w:sz w:val="20"/>
        </w:rPr>
        <w:t> </w:t>
      </w:r>
      <w:r>
        <w:rPr>
          <w:color w:val="231F20"/>
          <w:sz w:val="20"/>
        </w:rPr>
        <w:t>to</w:t>
      </w:r>
      <w:r>
        <w:rPr>
          <w:color w:val="231F20"/>
          <w:spacing w:val="40"/>
          <w:sz w:val="20"/>
        </w:rPr>
        <w:t> </w:t>
      </w:r>
      <w:r>
        <w:rPr>
          <w:color w:val="231F20"/>
          <w:sz w:val="20"/>
        </w:rPr>
        <w:t>the</w:t>
      </w:r>
      <w:r>
        <w:rPr>
          <w:color w:val="231F20"/>
          <w:spacing w:val="40"/>
          <w:sz w:val="20"/>
        </w:rPr>
        <w:t> </w:t>
      </w:r>
      <w:r>
        <w:rPr>
          <w:color w:val="231F20"/>
          <w:sz w:val="20"/>
        </w:rPr>
        <w:t>approval</w:t>
      </w:r>
      <w:r>
        <w:rPr>
          <w:color w:val="231F20"/>
          <w:spacing w:val="40"/>
          <w:sz w:val="20"/>
        </w:rPr>
        <w:t> </w:t>
      </w:r>
      <w:r>
        <w:rPr>
          <w:color w:val="231F20"/>
          <w:sz w:val="20"/>
        </w:rPr>
        <w:t>results).</w:t>
      </w:r>
    </w:p>
    <w:p>
      <w:pPr>
        <w:pStyle w:val="BodyText"/>
        <w:spacing w:before="40"/>
      </w:pPr>
    </w:p>
    <w:p>
      <w:pPr>
        <w:pStyle w:val="ListParagraph"/>
        <w:numPr>
          <w:ilvl w:val="1"/>
          <w:numId w:val="8"/>
        </w:numPr>
        <w:tabs>
          <w:tab w:pos="2410" w:val="left" w:leader="none"/>
        </w:tabs>
        <w:spacing w:line="292" w:lineRule="auto" w:before="0" w:after="0"/>
        <w:ind w:left="2410" w:right="135" w:hanging="567"/>
        <w:jc w:val="both"/>
        <w:rPr>
          <w:sz w:val="20"/>
        </w:rPr>
      </w:pPr>
      <w:r>
        <w:rPr>
          <w:color w:val="231F20"/>
          <w:sz w:val="20"/>
        </w:rPr>
        <w:t>Related party relationship or business association with the Company: a </w:t>
      </w:r>
      <w:r>
        <w:rPr>
          <w:color w:val="231F20"/>
          <w:sz w:val="20"/>
        </w:rPr>
        <w:t>wholly- owned subsidiary of the Company</w:t>
      </w:r>
    </w:p>
    <w:p>
      <w:pPr>
        <w:pStyle w:val="ListParagraph"/>
        <w:spacing w:after="0" w:line="292" w:lineRule="auto"/>
        <w:jc w:val="both"/>
        <w:rPr>
          <w:sz w:val="20"/>
        </w:rPr>
        <w:sectPr>
          <w:pgSz w:w="11910" w:h="15880"/>
          <w:pgMar w:header="567" w:footer="573" w:top="1300" w:bottom="760" w:left="1275" w:right="1275"/>
        </w:sectPr>
      </w:pPr>
    </w:p>
    <w:p>
      <w:pPr>
        <w:pStyle w:val="BodyText"/>
        <w:spacing w:before="144"/>
      </w:pPr>
    </w:p>
    <w:p>
      <w:pPr>
        <w:pStyle w:val="ListParagraph"/>
        <w:numPr>
          <w:ilvl w:val="1"/>
          <w:numId w:val="8"/>
        </w:numPr>
        <w:tabs>
          <w:tab w:pos="2409" w:val="left" w:leader="none"/>
        </w:tabs>
        <w:spacing w:line="240" w:lineRule="auto" w:before="1" w:after="0"/>
        <w:ind w:left="2409" w:right="0" w:hanging="566"/>
        <w:jc w:val="left"/>
        <w:rPr>
          <w:sz w:val="20"/>
        </w:rPr>
      </w:pPr>
      <w:r>
        <w:rPr>
          <w:color w:val="231F20"/>
          <w:sz w:val="20"/>
        </w:rPr>
        <w:t>Key</w:t>
      </w:r>
      <w:r>
        <w:rPr>
          <w:color w:val="231F20"/>
          <w:spacing w:val="29"/>
          <w:sz w:val="20"/>
        </w:rPr>
        <w:t> </w:t>
      </w:r>
      <w:r>
        <w:rPr>
          <w:color w:val="231F20"/>
          <w:sz w:val="20"/>
        </w:rPr>
        <w:t>financial</w:t>
      </w:r>
      <w:r>
        <w:rPr>
          <w:color w:val="231F20"/>
          <w:spacing w:val="30"/>
          <w:sz w:val="20"/>
        </w:rPr>
        <w:t> </w:t>
      </w:r>
      <w:r>
        <w:rPr>
          <w:color w:val="231F20"/>
          <w:sz w:val="20"/>
        </w:rPr>
        <w:t>data</w:t>
      </w:r>
      <w:r>
        <w:rPr>
          <w:color w:val="231F20"/>
          <w:spacing w:val="30"/>
          <w:sz w:val="20"/>
        </w:rPr>
        <w:t> </w:t>
      </w:r>
      <w:r>
        <w:rPr>
          <w:color w:val="231F20"/>
          <w:sz w:val="20"/>
        </w:rPr>
        <w:t>for</w:t>
      </w:r>
      <w:r>
        <w:rPr>
          <w:color w:val="231F20"/>
          <w:spacing w:val="29"/>
          <w:sz w:val="20"/>
        </w:rPr>
        <w:t> </w:t>
      </w:r>
      <w:r>
        <w:rPr>
          <w:color w:val="231F20"/>
          <w:sz w:val="20"/>
        </w:rPr>
        <w:t>the</w:t>
      </w:r>
      <w:r>
        <w:rPr>
          <w:color w:val="231F20"/>
          <w:spacing w:val="30"/>
          <w:sz w:val="20"/>
        </w:rPr>
        <w:t> </w:t>
      </w:r>
      <w:r>
        <w:rPr>
          <w:color w:val="231F20"/>
          <w:sz w:val="20"/>
        </w:rPr>
        <w:t>latest</w:t>
      </w:r>
      <w:r>
        <w:rPr>
          <w:color w:val="231F20"/>
          <w:spacing w:val="30"/>
          <w:sz w:val="20"/>
        </w:rPr>
        <w:t> </w:t>
      </w:r>
      <w:r>
        <w:rPr>
          <w:color w:val="231F20"/>
          <w:sz w:val="20"/>
        </w:rPr>
        <w:t>financial</w:t>
      </w:r>
      <w:r>
        <w:rPr>
          <w:color w:val="231F20"/>
          <w:spacing w:val="29"/>
          <w:sz w:val="20"/>
        </w:rPr>
        <w:t> </w:t>
      </w:r>
      <w:r>
        <w:rPr>
          <w:color w:val="231F20"/>
          <w:sz w:val="20"/>
        </w:rPr>
        <w:t>year</w:t>
      </w:r>
      <w:r>
        <w:rPr>
          <w:color w:val="231F20"/>
          <w:spacing w:val="30"/>
          <w:sz w:val="20"/>
        </w:rPr>
        <w:t> </w:t>
      </w:r>
      <w:r>
        <w:rPr>
          <w:color w:val="231F20"/>
          <w:sz w:val="20"/>
        </w:rPr>
        <w:t>and</w:t>
      </w:r>
      <w:r>
        <w:rPr>
          <w:color w:val="231F20"/>
          <w:spacing w:val="30"/>
          <w:sz w:val="20"/>
        </w:rPr>
        <w:t> </w:t>
      </w:r>
      <w:r>
        <w:rPr>
          <w:color w:val="231F20"/>
          <w:sz w:val="20"/>
        </w:rPr>
        <w:t>the</w:t>
      </w:r>
      <w:r>
        <w:rPr>
          <w:color w:val="231F20"/>
          <w:spacing w:val="29"/>
          <w:sz w:val="20"/>
        </w:rPr>
        <w:t> </w:t>
      </w:r>
      <w:r>
        <w:rPr>
          <w:color w:val="231F20"/>
          <w:sz w:val="20"/>
        </w:rPr>
        <w:t>subsequent</w:t>
      </w:r>
      <w:r>
        <w:rPr>
          <w:color w:val="231F20"/>
          <w:spacing w:val="30"/>
          <w:sz w:val="20"/>
        </w:rPr>
        <w:t> </w:t>
      </w:r>
      <w:r>
        <w:rPr>
          <w:color w:val="231F20"/>
          <w:sz w:val="20"/>
        </w:rPr>
        <w:t>interim</w:t>
      </w:r>
      <w:r>
        <w:rPr>
          <w:color w:val="231F20"/>
          <w:spacing w:val="30"/>
          <w:sz w:val="20"/>
        </w:rPr>
        <w:t> </w:t>
      </w:r>
      <w:r>
        <w:rPr>
          <w:color w:val="231F20"/>
          <w:spacing w:val="-2"/>
          <w:sz w:val="20"/>
        </w:rPr>
        <w:t>period</w:t>
      </w:r>
    </w:p>
    <w:p>
      <w:pPr>
        <w:pStyle w:val="BodyText"/>
        <w:spacing w:before="98"/>
      </w:pPr>
    </w:p>
    <w:tbl>
      <w:tblPr>
        <w:tblW w:w="0" w:type="auto"/>
        <w:jc w:val="left"/>
        <w:tblInd w:w="1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60"/>
        <w:gridCol w:w="1724"/>
        <w:gridCol w:w="1657"/>
      </w:tblGrid>
      <w:tr>
        <w:trPr>
          <w:trHeight w:val="255" w:hRule="atLeast"/>
        </w:trPr>
        <w:tc>
          <w:tcPr>
            <w:tcW w:w="4160" w:type="dxa"/>
            <w:vMerge w:val="restart"/>
          </w:tcPr>
          <w:p>
            <w:pPr>
              <w:pStyle w:val="TableParagraph"/>
              <w:spacing w:before="0"/>
              <w:rPr>
                <w:sz w:val="20"/>
              </w:rPr>
            </w:pPr>
          </w:p>
        </w:tc>
        <w:tc>
          <w:tcPr>
            <w:tcW w:w="1724" w:type="dxa"/>
          </w:tcPr>
          <w:p>
            <w:pPr>
              <w:pStyle w:val="TableParagraph"/>
              <w:spacing w:before="0"/>
              <w:rPr>
                <w:sz w:val="18"/>
              </w:rPr>
            </w:pPr>
          </w:p>
        </w:tc>
        <w:tc>
          <w:tcPr>
            <w:tcW w:w="1657" w:type="dxa"/>
          </w:tcPr>
          <w:p>
            <w:pPr>
              <w:pStyle w:val="TableParagraph"/>
              <w:spacing w:before="1"/>
              <w:ind w:right="113"/>
              <w:jc w:val="right"/>
              <w:rPr>
                <w:b/>
                <w:sz w:val="20"/>
              </w:rPr>
            </w:pPr>
            <w:r>
              <w:rPr>
                <w:b/>
                <w:color w:val="231F20"/>
                <w:sz w:val="20"/>
              </w:rPr>
              <w:t>As</w:t>
            </w:r>
            <w:r>
              <w:rPr>
                <w:b/>
                <w:color w:val="231F20"/>
                <w:spacing w:val="12"/>
                <w:sz w:val="20"/>
              </w:rPr>
              <w:t> </w:t>
            </w:r>
            <w:r>
              <w:rPr>
                <w:b/>
                <w:color w:val="231F20"/>
                <w:spacing w:val="-5"/>
                <w:sz w:val="20"/>
              </w:rPr>
              <w:t>at</w:t>
            </w:r>
          </w:p>
        </w:tc>
      </w:tr>
      <w:tr>
        <w:trPr>
          <w:trHeight w:val="280" w:hRule="atLeast"/>
        </w:trPr>
        <w:tc>
          <w:tcPr>
            <w:tcW w:w="4160" w:type="dxa"/>
            <w:vMerge/>
            <w:tcBorders>
              <w:top w:val="nil"/>
            </w:tcBorders>
          </w:tcPr>
          <w:p>
            <w:pPr>
              <w:rPr>
                <w:sz w:val="2"/>
                <w:szCs w:val="2"/>
              </w:rPr>
            </w:pPr>
          </w:p>
        </w:tc>
        <w:tc>
          <w:tcPr>
            <w:tcW w:w="1724" w:type="dxa"/>
          </w:tcPr>
          <w:p>
            <w:pPr>
              <w:pStyle w:val="TableParagraph"/>
              <w:spacing w:before="25"/>
              <w:ind w:right="157"/>
              <w:jc w:val="right"/>
              <w:rPr>
                <w:b/>
                <w:sz w:val="20"/>
              </w:rPr>
            </w:pPr>
            <w:r>
              <w:rPr>
                <w:b/>
                <w:color w:val="231F20"/>
                <w:sz w:val="20"/>
              </w:rPr>
              <w:t>As</w:t>
            </w:r>
            <w:r>
              <w:rPr>
                <w:b/>
                <w:color w:val="231F20"/>
                <w:spacing w:val="12"/>
                <w:sz w:val="20"/>
              </w:rPr>
              <w:t> </w:t>
            </w:r>
            <w:r>
              <w:rPr>
                <w:b/>
                <w:color w:val="231F20"/>
                <w:spacing w:val="-5"/>
                <w:sz w:val="20"/>
              </w:rPr>
              <w:t>at</w:t>
            </w:r>
          </w:p>
        </w:tc>
        <w:tc>
          <w:tcPr>
            <w:tcW w:w="1657" w:type="dxa"/>
          </w:tcPr>
          <w:p>
            <w:pPr>
              <w:pStyle w:val="TableParagraph"/>
              <w:spacing w:before="25"/>
              <w:ind w:right="113"/>
              <w:jc w:val="right"/>
              <w:rPr>
                <w:b/>
                <w:sz w:val="20"/>
              </w:rPr>
            </w:pPr>
            <w:r>
              <w:rPr>
                <w:b/>
                <w:color w:val="231F20"/>
                <w:sz w:val="20"/>
              </w:rPr>
              <w:t>December</w:t>
            </w:r>
            <w:r>
              <w:rPr>
                <w:b/>
                <w:color w:val="231F20"/>
                <w:spacing w:val="45"/>
                <w:sz w:val="20"/>
              </w:rPr>
              <w:t> </w:t>
            </w:r>
            <w:r>
              <w:rPr>
                <w:b/>
                <w:color w:val="231F20"/>
                <w:spacing w:val="-5"/>
                <w:sz w:val="20"/>
              </w:rPr>
              <w:t>31,</w:t>
            </w:r>
          </w:p>
        </w:tc>
      </w:tr>
      <w:tr>
        <w:trPr>
          <w:trHeight w:val="280" w:hRule="atLeast"/>
        </w:trPr>
        <w:tc>
          <w:tcPr>
            <w:tcW w:w="4160" w:type="dxa"/>
            <w:vMerge/>
            <w:tcBorders>
              <w:top w:val="nil"/>
            </w:tcBorders>
          </w:tcPr>
          <w:p>
            <w:pPr>
              <w:rPr>
                <w:sz w:val="2"/>
                <w:szCs w:val="2"/>
              </w:rPr>
            </w:pPr>
          </w:p>
        </w:tc>
        <w:tc>
          <w:tcPr>
            <w:tcW w:w="1724" w:type="dxa"/>
          </w:tcPr>
          <w:p>
            <w:pPr>
              <w:pStyle w:val="TableParagraph"/>
              <w:spacing w:before="25"/>
              <w:ind w:right="157"/>
              <w:jc w:val="right"/>
              <w:rPr>
                <w:b/>
                <w:sz w:val="20"/>
              </w:rPr>
            </w:pPr>
            <w:r>
              <w:rPr>
                <w:b/>
                <w:color w:val="231F20"/>
                <w:sz w:val="20"/>
              </w:rPr>
              <w:t>June</w:t>
            </w:r>
            <w:r>
              <w:rPr>
                <w:b/>
                <w:color w:val="231F20"/>
                <w:spacing w:val="18"/>
                <w:sz w:val="20"/>
              </w:rPr>
              <w:t> </w:t>
            </w:r>
            <w:r>
              <w:rPr>
                <w:b/>
                <w:color w:val="231F20"/>
                <w:sz w:val="20"/>
              </w:rPr>
              <w:t>30,</w:t>
            </w:r>
            <w:r>
              <w:rPr>
                <w:b/>
                <w:color w:val="231F20"/>
                <w:spacing w:val="19"/>
                <w:sz w:val="20"/>
              </w:rPr>
              <w:t> </w:t>
            </w:r>
            <w:r>
              <w:rPr>
                <w:b/>
                <w:color w:val="231F20"/>
                <w:spacing w:val="-2"/>
                <w:sz w:val="20"/>
              </w:rPr>
              <w:t>2025/</w:t>
            </w:r>
          </w:p>
        </w:tc>
        <w:tc>
          <w:tcPr>
            <w:tcW w:w="1657" w:type="dxa"/>
          </w:tcPr>
          <w:p>
            <w:pPr>
              <w:pStyle w:val="TableParagraph"/>
              <w:spacing w:before="25"/>
              <w:ind w:right="113"/>
              <w:jc w:val="right"/>
              <w:rPr>
                <w:b/>
                <w:sz w:val="20"/>
              </w:rPr>
            </w:pPr>
            <w:r>
              <w:rPr>
                <w:b/>
                <w:color w:val="231F20"/>
                <w:sz w:val="20"/>
              </w:rPr>
              <w:t>2024/For</w:t>
            </w:r>
            <w:r>
              <w:rPr>
                <w:b/>
                <w:color w:val="231F20"/>
                <w:spacing w:val="43"/>
                <w:sz w:val="20"/>
              </w:rPr>
              <w:t> </w:t>
            </w:r>
            <w:r>
              <w:rPr>
                <w:b/>
                <w:color w:val="231F20"/>
                <w:spacing w:val="-2"/>
                <w:sz w:val="20"/>
              </w:rPr>
              <w:t>period</w:t>
            </w:r>
          </w:p>
        </w:tc>
      </w:tr>
      <w:tr>
        <w:trPr>
          <w:trHeight w:val="280" w:hRule="atLeast"/>
        </w:trPr>
        <w:tc>
          <w:tcPr>
            <w:tcW w:w="4160" w:type="dxa"/>
            <w:vMerge/>
            <w:tcBorders>
              <w:top w:val="nil"/>
            </w:tcBorders>
          </w:tcPr>
          <w:p>
            <w:pPr>
              <w:rPr>
                <w:sz w:val="2"/>
                <w:szCs w:val="2"/>
              </w:rPr>
            </w:pPr>
          </w:p>
        </w:tc>
        <w:tc>
          <w:tcPr>
            <w:tcW w:w="1724" w:type="dxa"/>
          </w:tcPr>
          <w:p>
            <w:pPr>
              <w:pStyle w:val="TableParagraph"/>
              <w:spacing w:before="25"/>
              <w:ind w:right="157"/>
              <w:jc w:val="right"/>
              <w:rPr>
                <w:b/>
                <w:sz w:val="20"/>
              </w:rPr>
            </w:pPr>
            <w:r>
              <w:rPr>
                <w:b/>
                <w:color w:val="231F20"/>
                <w:sz w:val="20"/>
              </w:rPr>
              <w:t>For</w:t>
            </w:r>
            <w:r>
              <w:rPr>
                <w:b/>
                <w:color w:val="231F20"/>
                <w:spacing w:val="20"/>
                <w:sz w:val="20"/>
              </w:rPr>
              <w:t> </w:t>
            </w:r>
            <w:r>
              <w:rPr>
                <w:b/>
                <w:color w:val="231F20"/>
                <w:sz w:val="20"/>
              </w:rPr>
              <w:t>the</w:t>
            </w:r>
            <w:r>
              <w:rPr>
                <w:b/>
                <w:color w:val="231F20"/>
                <w:spacing w:val="20"/>
                <w:sz w:val="20"/>
              </w:rPr>
              <w:t> </w:t>
            </w:r>
            <w:r>
              <w:rPr>
                <w:b/>
                <w:color w:val="231F20"/>
                <w:spacing w:val="-2"/>
                <w:sz w:val="20"/>
              </w:rPr>
              <w:t>period</w:t>
            </w:r>
          </w:p>
        </w:tc>
        <w:tc>
          <w:tcPr>
            <w:tcW w:w="1657" w:type="dxa"/>
          </w:tcPr>
          <w:p>
            <w:pPr>
              <w:pStyle w:val="TableParagraph"/>
              <w:spacing w:before="25"/>
              <w:ind w:right="113"/>
              <w:jc w:val="right"/>
              <w:rPr>
                <w:b/>
                <w:sz w:val="20"/>
              </w:rPr>
            </w:pPr>
            <w:r>
              <w:rPr>
                <w:b/>
                <w:color w:val="231F20"/>
                <w:sz w:val="20"/>
              </w:rPr>
              <w:t>from</w:t>
            </w:r>
            <w:r>
              <w:rPr>
                <w:b/>
                <w:color w:val="231F20"/>
                <w:spacing w:val="25"/>
                <w:sz w:val="20"/>
              </w:rPr>
              <w:t> </w:t>
            </w:r>
            <w:r>
              <w:rPr>
                <w:b/>
                <w:color w:val="231F20"/>
                <w:spacing w:val="-2"/>
                <w:sz w:val="20"/>
              </w:rPr>
              <w:t>January</w:t>
            </w:r>
          </w:p>
        </w:tc>
      </w:tr>
      <w:tr>
        <w:trPr>
          <w:trHeight w:val="280" w:hRule="atLeast"/>
        </w:trPr>
        <w:tc>
          <w:tcPr>
            <w:tcW w:w="4160" w:type="dxa"/>
            <w:vMerge/>
            <w:tcBorders>
              <w:top w:val="nil"/>
            </w:tcBorders>
          </w:tcPr>
          <w:p>
            <w:pPr>
              <w:rPr>
                <w:sz w:val="2"/>
                <w:szCs w:val="2"/>
              </w:rPr>
            </w:pPr>
          </w:p>
        </w:tc>
        <w:tc>
          <w:tcPr>
            <w:tcW w:w="1724" w:type="dxa"/>
          </w:tcPr>
          <w:p>
            <w:pPr>
              <w:pStyle w:val="TableParagraph"/>
              <w:spacing w:before="25"/>
              <w:ind w:right="157"/>
              <w:jc w:val="right"/>
              <w:rPr>
                <w:b/>
                <w:sz w:val="20"/>
              </w:rPr>
            </w:pPr>
            <w:r>
              <w:rPr>
                <w:b/>
                <w:color w:val="231F20"/>
                <w:sz w:val="20"/>
              </w:rPr>
              <w:t>from</w:t>
            </w:r>
            <w:r>
              <w:rPr>
                <w:b/>
                <w:color w:val="231F20"/>
                <w:spacing w:val="25"/>
                <w:sz w:val="20"/>
              </w:rPr>
              <w:t> </w:t>
            </w:r>
            <w:r>
              <w:rPr>
                <w:b/>
                <w:color w:val="231F20"/>
                <w:spacing w:val="-2"/>
                <w:sz w:val="20"/>
              </w:rPr>
              <w:t>January</w:t>
            </w:r>
          </w:p>
        </w:tc>
        <w:tc>
          <w:tcPr>
            <w:tcW w:w="1657" w:type="dxa"/>
          </w:tcPr>
          <w:p>
            <w:pPr>
              <w:pStyle w:val="TableParagraph"/>
              <w:spacing w:before="25"/>
              <w:ind w:right="113"/>
              <w:jc w:val="right"/>
              <w:rPr>
                <w:b/>
                <w:sz w:val="20"/>
              </w:rPr>
            </w:pPr>
            <w:r>
              <w:rPr>
                <w:b/>
                <w:color w:val="231F20"/>
                <w:sz w:val="20"/>
              </w:rPr>
              <w:t>to</w:t>
            </w:r>
            <w:r>
              <w:rPr>
                <w:b/>
                <w:color w:val="231F20"/>
                <w:spacing w:val="12"/>
                <w:sz w:val="20"/>
              </w:rPr>
              <w:t> </w:t>
            </w:r>
            <w:r>
              <w:rPr>
                <w:b/>
                <w:color w:val="231F20"/>
                <w:spacing w:val="-2"/>
                <w:sz w:val="20"/>
              </w:rPr>
              <w:t>December</w:t>
            </w:r>
          </w:p>
        </w:tc>
      </w:tr>
      <w:tr>
        <w:trPr>
          <w:trHeight w:val="280" w:hRule="atLeast"/>
        </w:trPr>
        <w:tc>
          <w:tcPr>
            <w:tcW w:w="4160" w:type="dxa"/>
            <w:vMerge/>
            <w:tcBorders>
              <w:top w:val="nil"/>
            </w:tcBorders>
          </w:tcPr>
          <w:p>
            <w:pPr>
              <w:rPr>
                <w:sz w:val="2"/>
                <w:szCs w:val="2"/>
              </w:rPr>
            </w:pPr>
          </w:p>
        </w:tc>
        <w:tc>
          <w:tcPr>
            <w:tcW w:w="1724" w:type="dxa"/>
          </w:tcPr>
          <w:p>
            <w:pPr>
              <w:pStyle w:val="TableParagraph"/>
              <w:spacing w:before="25"/>
              <w:ind w:right="157"/>
              <w:jc w:val="right"/>
              <w:rPr>
                <w:b/>
                <w:sz w:val="20"/>
              </w:rPr>
            </w:pPr>
            <w:r>
              <w:rPr>
                <w:b/>
                <w:color w:val="231F20"/>
                <w:sz w:val="20"/>
              </w:rPr>
              <w:t>to</w:t>
            </w:r>
            <w:r>
              <w:rPr>
                <w:b/>
                <w:color w:val="231F20"/>
                <w:spacing w:val="16"/>
                <w:sz w:val="20"/>
              </w:rPr>
              <w:t> </w:t>
            </w:r>
            <w:r>
              <w:rPr>
                <w:b/>
                <w:color w:val="231F20"/>
                <w:sz w:val="20"/>
              </w:rPr>
              <w:t>June</w:t>
            </w:r>
            <w:r>
              <w:rPr>
                <w:b/>
                <w:color w:val="231F20"/>
                <w:spacing w:val="17"/>
                <w:sz w:val="20"/>
              </w:rPr>
              <w:t> </w:t>
            </w:r>
            <w:r>
              <w:rPr>
                <w:b/>
                <w:color w:val="231F20"/>
                <w:spacing w:val="-4"/>
                <w:sz w:val="20"/>
              </w:rPr>
              <w:t>2025</w:t>
            </w:r>
          </w:p>
        </w:tc>
        <w:tc>
          <w:tcPr>
            <w:tcW w:w="1657" w:type="dxa"/>
          </w:tcPr>
          <w:p>
            <w:pPr>
              <w:pStyle w:val="TableParagraph"/>
              <w:spacing w:before="25"/>
              <w:ind w:right="113"/>
              <w:jc w:val="right"/>
              <w:rPr>
                <w:b/>
                <w:sz w:val="20"/>
              </w:rPr>
            </w:pPr>
            <w:r>
              <w:rPr>
                <w:b/>
                <w:color w:val="231F20"/>
                <w:spacing w:val="-4"/>
                <w:sz w:val="20"/>
              </w:rPr>
              <w:t>2024</w:t>
            </w:r>
          </w:p>
        </w:tc>
      </w:tr>
      <w:tr>
        <w:trPr>
          <w:trHeight w:val="704" w:hRule="atLeast"/>
        </w:trPr>
        <w:tc>
          <w:tcPr>
            <w:tcW w:w="4160" w:type="dxa"/>
          </w:tcPr>
          <w:p>
            <w:pPr>
              <w:pStyle w:val="TableParagraph"/>
              <w:spacing w:before="25"/>
              <w:ind w:left="616"/>
              <w:rPr>
                <w:b/>
                <w:sz w:val="20"/>
              </w:rPr>
            </w:pPr>
            <w:r>
              <w:rPr>
                <w:b/>
                <w:color w:val="231F20"/>
                <w:spacing w:val="-2"/>
                <w:sz w:val="20"/>
              </w:rPr>
              <w:t>Items</w:t>
            </w:r>
          </w:p>
        </w:tc>
        <w:tc>
          <w:tcPr>
            <w:tcW w:w="1724" w:type="dxa"/>
          </w:tcPr>
          <w:p>
            <w:pPr>
              <w:pStyle w:val="TableParagraph"/>
              <w:spacing w:before="25"/>
              <w:ind w:left="542"/>
              <w:rPr>
                <w:b/>
                <w:sz w:val="20"/>
              </w:rPr>
            </w:pPr>
            <w:r>
              <w:rPr>
                <w:b/>
                <w:color w:val="231F20"/>
                <w:spacing w:val="-2"/>
                <w:sz w:val="20"/>
              </w:rPr>
              <w:t>(Unaudited)</w:t>
            </w:r>
          </w:p>
          <w:p>
            <w:pPr>
              <w:pStyle w:val="TableParagraph"/>
              <w:spacing w:before="50"/>
              <w:ind w:left="1005"/>
              <w:rPr>
                <w:b/>
                <w:i/>
                <w:sz w:val="20"/>
              </w:rPr>
            </w:pPr>
            <w:r>
              <w:rPr>
                <w:b/>
                <w:i/>
                <w:color w:val="231F20"/>
                <w:spacing w:val="-2"/>
                <w:w w:val="105"/>
                <w:sz w:val="20"/>
              </w:rPr>
              <w:t>(RMB)</w:t>
            </w:r>
          </w:p>
        </w:tc>
        <w:tc>
          <w:tcPr>
            <w:tcW w:w="1657" w:type="dxa"/>
          </w:tcPr>
          <w:p>
            <w:pPr>
              <w:pStyle w:val="TableParagraph"/>
              <w:spacing w:before="25"/>
              <w:ind w:left="740"/>
              <w:rPr>
                <w:b/>
                <w:sz w:val="20"/>
              </w:rPr>
            </w:pPr>
            <w:r>
              <w:rPr>
                <w:b/>
                <w:color w:val="231F20"/>
                <w:spacing w:val="-2"/>
                <w:sz w:val="20"/>
              </w:rPr>
              <w:t>(Audited)</w:t>
            </w:r>
          </w:p>
          <w:p>
            <w:pPr>
              <w:pStyle w:val="TableParagraph"/>
              <w:spacing w:before="50"/>
              <w:ind w:left="982"/>
              <w:rPr>
                <w:b/>
                <w:i/>
                <w:sz w:val="20"/>
              </w:rPr>
            </w:pPr>
            <w:r>
              <w:rPr>
                <w:b/>
                <w:i/>
                <w:color w:val="231F20"/>
                <w:spacing w:val="-2"/>
                <w:w w:val="105"/>
                <w:sz w:val="20"/>
              </w:rPr>
              <w:t>(RMB)</w:t>
            </w:r>
          </w:p>
        </w:tc>
      </w:tr>
      <w:tr>
        <w:trPr>
          <w:trHeight w:val="419" w:hRule="atLeast"/>
        </w:trPr>
        <w:tc>
          <w:tcPr>
            <w:tcW w:w="4160" w:type="dxa"/>
          </w:tcPr>
          <w:p>
            <w:pPr>
              <w:pStyle w:val="TableParagraph"/>
              <w:spacing w:before="161"/>
              <w:ind w:left="616"/>
              <w:rPr>
                <w:sz w:val="20"/>
              </w:rPr>
            </w:pPr>
            <w:r>
              <w:rPr>
                <w:color w:val="231F20"/>
                <w:sz w:val="20"/>
              </w:rPr>
              <w:t>Total</w:t>
            </w:r>
            <w:r>
              <w:rPr>
                <w:color w:val="231F20"/>
                <w:spacing w:val="28"/>
                <w:sz w:val="20"/>
              </w:rPr>
              <w:t> </w:t>
            </w:r>
            <w:r>
              <w:rPr>
                <w:color w:val="231F20"/>
                <w:spacing w:val="-2"/>
                <w:sz w:val="20"/>
              </w:rPr>
              <w:t>assets</w:t>
            </w:r>
          </w:p>
        </w:tc>
        <w:tc>
          <w:tcPr>
            <w:tcW w:w="1724" w:type="dxa"/>
          </w:tcPr>
          <w:p>
            <w:pPr>
              <w:pStyle w:val="TableParagraph"/>
              <w:spacing w:before="161"/>
              <w:ind w:right="157"/>
              <w:jc w:val="right"/>
              <w:rPr>
                <w:sz w:val="20"/>
              </w:rPr>
            </w:pPr>
            <w:r>
              <w:rPr>
                <w:color w:val="231F20"/>
                <w:spacing w:val="-2"/>
                <w:sz w:val="20"/>
              </w:rPr>
              <w:t>88,692,781.17</w:t>
            </w:r>
          </w:p>
        </w:tc>
        <w:tc>
          <w:tcPr>
            <w:tcW w:w="1657" w:type="dxa"/>
          </w:tcPr>
          <w:p>
            <w:pPr>
              <w:pStyle w:val="TableParagraph"/>
              <w:spacing w:before="161"/>
              <w:ind w:right="115"/>
              <w:jc w:val="right"/>
              <w:rPr>
                <w:sz w:val="20"/>
              </w:rPr>
            </w:pPr>
            <w:r>
              <w:rPr>
                <w:color w:val="231F20"/>
                <w:spacing w:val="-2"/>
                <w:sz w:val="20"/>
              </w:rPr>
              <w:t>92,399,659.30</w:t>
            </w:r>
          </w:p>
        </w:tc>
      </w:tr>
      <w:tr>
        <w:trPr>
          <w:trHeight w:val="280" w:hRule="atLeast"/>
        </w:trPr>
        <w:tc>
          <w:tcPr>
            <w:tcW w:w="4160" w:type="dxa"/>
          </w:tcPr>
          <w:p>
            <w:pPr>
              <w:pStyle w:val="TableParagraph"/>
              <w:ind w:left="616"/>
              <w:rPr>
                <w:sz w:val="20"/>
              </w:rPr>
            </w:pPr>
            <w:r>
              <w:rPr>
                <w:color w:val="231F20"/>
                <w:sz w:val="20"/>
              </w:rPr>
              <w:t>Total</w:t>
            </w:r>
            <w:r>
              <w:rPr>
                <w:color w:val="231F20"/>
                <w:spacing w:val="30"/>
                <w:sz w:val="20"/>
              </w:rPr>
              <w:t> </w:t>
            </w:r>
            <w:r>
              <w:rPr>
                <w:color w:val="231F20"/>
                <w:spacing w:val="-2"/>
                <w:sz w:val="20"/>
              </w:rPr>
              <w:t>liabilities</w:t>
            </w:r>
          </w:p>
        </w:tc>
        <w:tc>
          <w:tcPr>
            <w:tcW w:w="1724" w:type="dxa"/>
          </w:tcPr>
          <w:p>
            <w:pPr>
              <w:pStyle w:val="TableParagraph"/>
              <w:ind w:right="157"/>
              <w:jc w:val="right"/>
              <w:rPr>
                <w:sz w:val="20"/>
              </w:rPr>
            </w:pPr>
            <w:r>
              <w:rPr>
                <w:color w:val="231F20"/>
                <w:spacing w:val="-2"/>
                <w:sz w:val="20"/>
              </w:rPr>
              <w:t>64,211,235.84</w:t>
            </w:r>
          </w:p>
        </w:tc>
        <w:tc>
          <w:tcPr>
            <w:tcW w:w="1657" w:type="dxa"/>
          </w:tcPr>
          <w:p>
            <w:pPr>
              <w:pStyle w:val="TableParagraph"/>
              <w:ind w:right="115"/>
              <w:jc w:val="right"/>
              <w:rPr>
                <w:sz w:val="20"/>
              </w:rPr>
            </w:pPr>
            <w:r>
              <w:rPr>
                <w:color w:val="231F20"/>
                <w:spacing w:val="-2"/>
                <w:sz w:val="20"/>
              </w:rPr>
              <w:t>72,724,898.31</w:t>
            </w:r>
          </w:p>
        </w:tc>
      </w:tr>
      <w:tr>
        <w:trPr>
          <w:trHeight w:val="280" w:hRule="atLeast"/>
        </w:trPr>
        <w:tc>
          <w:tcPr>
            <w:tcW w:w="4160" w:type="dxa"/>
          </w:tcPr>
          <w:p>
            <w:pPr>
              <w:pStyle w:val="TableParagraph"/>
              <w:ind w:left="616"/>
              <w:rPr>
                <w:sz w:val="20"/>
              </w:rPr>
            </w:pPr>
            <w:r>
              <w:rPr>
                <w:color w:val="231F20"/>
                <w:sz w:val="20"/>
              </w:rPr>
              <w:t>Net</w:t>
            </w:r>
            <w:r>
              <w:rPr>
                <w:color w:val="231F20"/>
                <w:spacing w:val="18"/>
                <w:sz w:val="20"/>
              </w:rPr>
              <w:t> </w:t>
            </w:r>
            <w:r>
              <w:rPr>
                <w:color w:val="231F20"/>
                <w:spacing w:val="-2"/>
                <w:sz w:val="20"/>
              </w:rPr>
              <w:t>assets</w:t>
            </w:r>
          </w:p>
        </w:tc>
        <w:tc>
          <w:tcPr>
            <w:tcW w:w="1724" w:type="dxa"/>
          </w:tcPr>
          <w:p>
            <w:pPr>
              <w:pStyle w:val="TableParagraph"/>
              <w:ind w:right="157"/>
              <w:jc w:val="right"/>
              <w:rPr>
                <w:sz w:val="20"/>
              </w:rPr>
            </w:pPr>
            <w:r>
              <w:rPr>
                <w:color w:val="231F20"/>
                <w:spacing w:val="-2"/>
                <w:sz w:val="20"/>
              </w:rPr>
              <w:t>24,481,545.33</w:t>
            </w:r>
          </w:p>
        </w:tc>
        <w:tc>
          <w:tcPr>
            <w:tcW w:w="1657" w:type="dxa"/>
          </w:tcPr>
          <w:p>
            <w:pPr>
              <w:pStyle w:val="TableParagraph"/>
              <w:ind w:right="115"/>
              <w:jc w:val="right"/>
              <w:rPr>
                <w:sz w:val="20"/>
              </w:rPr>
            </w:pPr>
            <w:r>
              <w:rPr>
                <w:color w:val="231F20"/>
                <w:spacing w:val="-2"/>
                <w:sz w:val="20"/>
              </w:rPr>
              <w:t>19,674,760.99</w:t>
            </w:r>
          </w:p>
        </w:tc>
      </w:tr>
      <w:tr>
        <w:trPr>
          <w:trHeight w:val="280" w:hRule="atLeast"/>
        </w:trPr>
        <w:tc>
          <w:tcPr>
            <w:tcW w:w="4160" w:type="dxa"/>
          </w:tcPr>
          <w:p>
            <w:pPr>
              <w:pStyle w:val="TableParagraph"/>
              <w:ind w:left="616"/>
              <w:rPr>
                <w:sz w:val="20"/>
              </w:rPr>
            </w:pPr>
            <w:r>
              <w:rPr>
                <w:color w:val="231F20"/>
                <w:sz w:val="20"/>
              </w:rPr>
              <w:t>Operating</w:t>
            </w:r>
            <w:r>
              <w:rPr>
                <w:color w:val="231F20"/>
                <w:spacing w:val="50"/>
                <w:sz w:val="20"/>
              </w:rPr>
              <w:t> </w:t>
            </w:r>
            <w:r>
              <w:rPr>
                <w:color w:val="231F20"/>
                <w:spacing w:val="-2"/>
                <w:sz w:val="20"/>
              </w:rPr>
              <w:t>revenue</w:t>
            </w:r>
          </w:p>
        </w:tc>
        <w:tc>
          <w:tcPr>
            <w:tcW w:w="1724" w:type="dxa"/>
          </w:tcPr>
          <w:p>
            <w:pPr>
              <w:pStyle w:val="TableParagraph"/>
              <w:ind w:right="157"/>
              <w:jc w:val="right"/>
              <w:rPr>
                <w:sz w:val="20"/>
              </w:rPr>
            </w:pPr>
            <w:r>
              <w:rPr>
                <w:color w:val="231F20"/>
                <w:spacing w:val="-2"/>
                <w:sz w:val="20"/>
              </w:rPr>
              <w:t>59,737,065.01</w:t>
            </w:r>
          </w:p>
        </w:tc>
        <w:tc>
          <w:tcPr>
            <w:tcW w:w="1657" w:type="dxa"/>
          </w:tcPr>
          <w:p>
            <w:pPr>
              <w:pStyle w:val="TableParagraph"/>
              <w:ind w:right="115"/>
              <w:jc w:val="right"/>
              <w:rPr>
                <w:sz w:val="20"/>
              </w:rPr>
            </w:pPr>
            <w:r>
              <w:rPr>
                <w:color w:val="231F20"/>
                <w:spacing w:val="-2"/>
                <w:sz w:val="20"/>
              </w:rPr>
              <w:t>97,152,580.09</w:t>
            </w:r>
          </w:p>
        </w:tc>
      </w:tr>
      <w:tr>
        <w:trPr>
          <w:trHeight w:val="280" w:hRule="atLeast"/>
        </w:trPr>
        <w:tc>
          <w:tcPr>
            <w:tcW w:w="4160" w:type="dxa"/>
          </w:tcPr>
          <w:p>
            <w:pPr>
              <w:pStyle w:val="TableParagraph"/>
              <w:ind w:left="616"/>
              <w:rPr>
                <w:sz w:val="20"/>
              </w:rPr>
            </w:pPr>
            <w:r>
              <w:rPr>
                <w:color w:val="231F20"/>
                <w:sz w:val="20"/>
              </w:rPr>
              <w:t>Total</w:t>
            </w:r>
            <w:r>
              <w:rPr>
                <w:color w:val="231F20"/>
                <w:spacing w:val="28"/>
                <w:sz w:val="20"/>
              </w:rPr>
              <w:t> </w:t>
            </w:r>
            <w:r>
              <w:rPr>
                <w:color w:val="231F20"/>
                <w:spacing w:val="-2"/>
                <w:sz w:val="20"/>
              </w:rPr>
              <w:t>profit</w:t>
            </w:r>
          </w:p>
        </w:tc>
        <w:tc>
          <w:tcPr>
            <w:tcW w:w="1724" w:type="dxa"/>
          </w:tcPr>
          <w:p>
            <w:pPr>
              <w:pStyle w:val="TableParagraph"/>
              <w:ind w:right="157"/>
              <w:jc w:val="right"/>
              <w:rPr>
                <w:sz w:val="20"/>
              </w:rPr>
            </w:pPr>
            <w:r>
              <w:rPr>
                <w:color w:val="231F20"/>
                <w:spacing w:val="-2"/>
                <w:sz w:val="20"/>
              </w:rPr>
              <w:t>4,857,320.21</w:t>
            </w:r>
          </w:p>
        </w:tc>
        <w:tc>
          <w:tcPr>
            <w:tcW w:w="1657" w:type="dxa"/>
          </w:tcPr>
          <w:p>
            <w:pPr>
              <w:pStyle w:val="TableParagraph"/>
              <w:ind w:right="115"/>
              <w:jc w:val="right"/>
              <w:rPr>
                <w:sz w:val="20"/>
              </w:rPr>
            </w:pPr>
            <w:r>
              <w:rPr>
                <w:color w:val="231F20"/>
                <w:sz w:val="20"/>
              </w:rPr>
              <w:t>-</w:t>
            </w:r>
            <w:r>
              <w:rPr>
                <w:color w:val="231F20"/>
                <w:spacing w:val="-2"/>
                <w:sz w:val="20"/>
              </w:rPr>
              <w:t>963,020.03</w:t>
            </w:r>
          </w:p>
        </w:tc>
      </w:tr>
      <w:tr>
        <w:trPr>
          <w:trHeight w:val="420" w:hRule="atLeast"/>
        </w:trPr>
        <w:tc>
          <w:tcPr>
            <w:tcW w:w="4160" w:type="dxa"/>
          </w:tcPr>
          <w:p>
            <w:pPr>
              <w:pStyle w:val="TableParagraph"/>
              <w:ind w:left="616"/>
              <w:rPr>
                <w:sz w:val="20"/>
              </w:rPr>
            </w:pPr>
            <w:r>
              <w:rPr>
                <w:color w:val="231F20"/>
                <w:sz w:val="20"/>
              </w:rPr>
              <w:t>Net</w:t>
            </w:r>
            <w:r>
              <w:rPr>
                <w:color w:val="231F20"/>
                <w:spacing w:val="18"/>
                <w:sz w:val="20"/>
              </w:rPr>
              <w:t> </w:t>
            </w:r>
            <w:r>
              <w:rPr>
                <w:color w:val="231F20"/>
                <w:spacing w:val="-2"/>
                <w:sz w:val="20"/>
              </w:rPr>
              <w:t>profit</w:t>
            </w:r>
          </w:p>
        </w:tc>
        <w:tc>
          <w:tcPr>
            <w:tcW w:w="1724" w:type="dxa"/>
          </w:tcPr>
          <w:p>
            <w:pPr>
              <w:pStyle w:val="TableParagraph"/>
              <w:ind w:right="157"/>
              <w:jc w:val="right"/>
              <w:rPr>
                <w:sz w:val="20"/>
              </w:rPr>
            </w:pPr>
            <w:r>
              <w:rPr>
                <w:color w:val="231F20"/>
                <w:spacing w:val="-2"/>
                <w:sz w:val="20"/>
              </w:rPr>
              <w:t>4,806,784.34</w:t>
            </w:r>
          </w:p>
        </w:tc>
        <w:tc>
          <w:tcPr>
            <w:tcW w:w="1657" w:type="dxa"/>
          </w:tcPr>
          <w:p>
            <w:pPr>
              <w:pStyle w:val="TableParagraph"/>
              <w:ind w:right="115"/>
              <w:jc w:val="right"/>
              <w:rPr>
                <w:sz w:val="20"/>
              </w:rPr>
            </w:pPr>
            <w:r>
              <w:rPr>
                <w:color w:val="231F20"/>
                <w:sz w:val="20"/>
              </w:rPr>
              <w:t>-</w:t>
            </w:r>
            <w:r>
              <w:rPr>
                <w:color w:val="231F20"/>
                <w:spacing w:val="-2"/>
                <w:sz w:val="20"/>
              </w:rPr>
              <w:t>2,131,735.25</w:t>
            </w:r>
          </w:p>
        </w:tc>
      </w:tr>
      <w:tr>
        <w:trPr>
          <w:trHeight w:val="391" w:hRule="atLeast"/>
        </w:trPr>
        <w:tc>
          <w:tcPr>
            <w:tcW w:w="4160" w:type="dxa"/>
          </w:tcPr>
          <w:p>
            <w:pPr>
              <w:pStyle w:val="TableParagraph"/>
              <w:tabs>
                <w:tab w:pos="616" w:val="left" w:leader="none"/>
              </w:tabs>
              <w:spacing w:line="210" w:lineRule="exact" w:before="161"/>
              <w:ind w:left="50"/>
              <w:rPr>
                <w:sz w:val="20"/>
              </w:rPr>
            </w:pPr>
            <w:r>
              <w:rPr>
                <w:color w:val="231F20"/>
                <w:spacing w:val="-5"/>
                <w:sz w:val="20"/>
              </w:rPr>
              <w:t>9.</w:t>
            </w:r>
            <w:r>
              <w:rPr>
                <w:color w:val="231F20"/>
                <w:sz w:val="20"/>
              </w:rPr>
              <w:tab/>
              <w:t>Credit</w:t>
            </w:r>
            <w:r>
              <w:rPr>
                <w:color w:val="231F20"/>
                <w:spacing w:val="33"/>
                <w:sz w:val="20"/>
              </w:rPr>
              <w:t> </w:t>
            </w:r>
            <w:r>
              <w:rPr>
                <w:color w:val="231F20"/>
                <w:sz w:val="20"/>
              </w:rPr>
              <w:t>rating:</w:t>
            </w:r>
            <w:r>
              <w:rPr>
                <w:color w:val="231F20"/>
                <w:spacing w:val="34"/>
                <w:sz w:val="20"/>
              </w:rPr>
              <w:t> </w:t>
            </w:r>
            <w:r>
              <w:rPr>
                <w:color w:val="231F20"/>
                <w:sz w:val="20"/>
              </w:rPr>
              <w:t>No</w:t>
            </w:r>
            <w:r>
              <w:rPr>
                <w:color w:val="231F20"/>
                <w:spacing w:val="33"/>
                <w:sz w:val="20"/>
              </w:rPr>
              <w:t> </w:t>
            </w:r>
            <w:r>
              <w:rPr>
                <w:color w:val="231F20"/>
                <w:sz w:val="20"/>
              </w:rPr>
              <w:t>external</w:t>
            </w:r>
            <w:r>
              <w:rPr>
                <w:color w:val="231F20"/>
                <w:spacing w:val="34"/>
                <w:sz w:val="20"/>
              </w:rPr>
              <w:t> </w:t>
            </w:r>
            <w:r>
              <w:rPr>
                <w:color w:val="231F20"/>
                <w:sz w:val="20"/>
              </w:rPr>
              <w:t>credit</w:t>
            </w:r>
            <w:r>
              <w:rPr>
                <w:color w:val="231F20"/>
                <w:spacing w:val="33"/>
                <w:sz w:val="20"/>
              </w:rPr>
              <w:t> </w:t>
            </w:r>
            <w:r>
              <w:rPr>
                <w:color w:val="231F20"/>
                <w:spacing w:val="-2"/>
                <w:sz w:val="20"/>
              </w:rPr>
              <w:t>rating</w:t>
            </w:r>
          </w:p>
        </w:tc>
        <w:tc>
          <w:tcPr>
            <w:tcW w:w="1724" w:type="dxa"/>
          </w:tcPr>
          <w:p>
            <w:pPr>
              <w:pStyle w:val="TableParagraph"/>
              <w:spacing w:before="0"/>
              <w:rPr>
                <w:sz w:val="20"/>
              </w:rPr>
            </w:pPr>
          </w:p>
        </w:tc>
        <w:tc>
          <w:tcPr>
            <w:tcW w:w="1657" w:type="dxa"/>
          </w:tcPr>
          <w:p>
            <w:pPr>
              <w:pStyle w:val="TableParagraph"/>
              <w:spacing w:before="0"/>
              <w:rPr>
                <w:sz w:val="20"/>
              </w:rPr>
            </w:pPr>
          </w:p>
        </w:tc>
      </w:tr>
    </w:tbl>
    <w:p>
      <w:pPr>
        <w:pStyle w:val="BodyText"/>
        <w:spacing w:before="102"/>
      </w:pPr>
    </w:p>
    <w:p>
      <w:pPr>
        <w:pStyle w:val="BodyText"/>
        <w:ind w:left="2410"/>
      </w:pPr>
      <w:r>
        <w:rPr>
          <w:color w:val="231F20"/>
        </w:rPr>
        <w:t>Upon</w:t>
      </w:r>
      <w:r>
        <w:rPr>
          <w:color w:val="231F20"/>
          <w:spacing w:val="36"/>
        </w:rPr>
        <w:t> </w:t>
      </w:r>
      <w:r>
        <w:rPr>
          <w:color w:val="231F20"/>
        </w:rPr>
        <w:t>verification,</w:t>
      </w:r>
      <w:r>
        <w:rPr>
          <w:color w:val="231F20"/>
          <w:spacing w:val="36"/>
        </w:rPr>
        <w:t> </w:t>
      </w:r>
      <w:r>
        <w:rPr>
          <w:color w:val="231F20"/>
        </w:rPr>
        <w:t>Shaanxi</w:t>
      </w:r>
      <w:r>
        <w:rPr>
          <w:color w:val="231F20"/>
          <w:spacing w:val="37"/>
        </w:rPr>
        <w:t> </w:t>
      </w:r>
      <w:r>
        <w:rPr>
          <w:color w:val="231F20"/>
        </w:rPr>
        <w:t>Jihong</w:t>
      </w:r>
      <w:r>
        <w:rPr>
          <w:color w:val="231F20"/>
          <w:spacing w:val="37"/>
        </w:rPr>
        <w:t> </w:t>
      </w:r>
      <w:r>
        <w:rPr>
          <w:color w:val="231F20"/>
        </w:rPr>
        <w:t>is</w:t>
      </w:r>
      <w:r>
        <w:rPr>
          <w:color w:val="231F20"/>
          <w:spacing w:val="37"/>
        </w:rPr>
        <w:t> </w:t>
      </w:r>
      <w:r>
        <w:rPr>
          <w:color w:val="231F20"/>
        </w:rPr>
        <w:t>not</w:t>
      </w:r>
      <w:r>
        <w:rPr>
          <w:color w:val="231F20"/>
          <w:spacing w:val="36"/>
        </w:rPr>
        <w:t> </w:t>
      </w:r>
      <w:r>
        <w:rPr>
          <w:color w:val="231F20"/>
        </w:rPr>
        <w:t>an</w:t>
      </w:r>
      <w:r>
        <w:rPr>
          <w:color w:val="231F20"/>
          <w:spacing w:val="37"/>
        </w:rPr>
        <w:t> </w:t>
      </w:r>
      <w:r>
        <w:rPr>
          <w:color w:val="231F20"/>
        </w:rPr>
        <w:t>untrustworthy</w:t>
      </w:r>
      <w:r>
        <w:rPr>
          <w:color w:val="231F20"/>
          <w:spacing w:val="37"/>
        </w:rPr>
        <w:t> </w:t>
      </w:r>
      <w:r>
        <w:rPr>
          <w:color w:val="231F20"/>
        </w:rPr>
        <w:t>judgment</w:t>
      </w:r>
      <w:r>
        <w:rPr>
          <w:color w:val="231F20"/>
          <w:spacing w:val="37"/>
        </w:rPr>
        <w:t> </w:t>
      </w:r>
      <w:r>
        <w:rPr>
          <w:color w:val="231F20"/>
          <w:spacing w:val="-2"/>
        </w:rPr>
        <w:t>defaulter.</w:t>
      </w:r>
    </w:p>
    <w:p>
      <w:pPr>
        <w:pStyle w:val="BodyText"/>
        <w:spacing w:before="48"/>
      </w:pPr>
    </w:p>
    <w:p>
      <w:pPr>
        <w:pStyle w:val="Heading5"/>
        <w:numPr>
          <w:ilvl w:val="0"/>
          <w:numId w:val="8"/>
        </w:numPr>
        <w:tabs>
          <w:tab w:pos="566" w:val="left" w:leader="none"/>
        </w:tabs>
        <w:spacing w:line="240" w:lineRule="auto" w:before="0" w:after="0"/>
        <w:ind w:left="566" w:right="179" w:hanging="566"/>
        <w:jc w:val="right"/>
        <w:rPr>
          <w:i/>
        </w:rPr>
      </w:pPr>
      <w:r>
        <w:rPr>
          <w:i/>
          <w:color w:val="231F20"/>
        </w:rPr>
        <w:t>Giikin</w:t>
      </w:r>
      <w:r>
        <w:rPr>
          <w:i/>
          <w:color w:val="231F20"/>
          <w:spacing w:val="70"/>
        </w:rPr>
        <w:t> </w:t>
      </w:r>
      <w:r>
        <w:rPr>
          <w:i/>
          <w:color w:val="231F20"/>
        </w:rPr>
        <w:t>(Xi’an</w:t>
      </w:r>
      <w:r>
        <w:rPr>
          <w:i/>
          <w:color w:val="231F20"/>
          <w:spacing w:val="35"/>
        </w:rPr>
        <w:t>) </w:t>
      </w:r>
      <w:r>
        <w:rPr>
          <w:i/>
          <w:color w:val="231F20"/>
        </w:rPr>
        <w:t>Digital</w:t>
      </w:r>
      <w:r>
        <w:rPr>
          <w:i/>
          <w:color w:val="231F20"/>
          <w:spacing w:val="71"/>
        </w:rPr>
        <w:t> </w:t>
      </w:r>
      <w:r>
        <w:rPr>
          <w:i/>
          <w:color w:val="231F20"/>
        </w:rPr>
        <w:t>Technology</w:t>
      </w:r>
      <w:r>
        <w:rPr>
          <w:i/>
          <w:color w:val="231F20"/>
          <w:spacing w:val="71"/>
        </w:rPr>
        <w:t> </w:t>
      </w:r>
      <w:r>
        <w:rPr>
          <w:i/>
          <w:color w:val="231F20"/>
        </w:rPr>
        <w:t>Co.</w:t>
      </w:r>
      <w:r>
        <w:rPr>
          <w:i/>
          <w:color w:val="231F20"/>
          <w:spacing w:val="35"/>
        </w:rPr>
        <w:t>, </w:t>
      </w:r>
      <w:r>
        <w:rPr>
          <w:i/>
          <w:color w:val="231F20"/>
        </w:rPr>
        <w:t>Limited*</w:t>
      </w:r>
      <w:r>
        <w:rPr>
          <w:i/>
          <w:color w:val="231F20"/>
          <w:spacing w:val="35"/>
        </w:rPr>
        <w:t> (</w:t>
      </w:r>
      <w:r>
        <w:rPr>
          <w:rFonts w:ascii="Microsoft YaHei" w:hAnsi="Microsoft YaHei" w:eastAsia="Microsoft YaHei"/>
          <w:color w:val="231F20"/>
        </w:rPr>
        <w:t>吉客印</w:t>
      </w:r>
      <w:r>
        <w:rPr>
          <w:i/>
          <w:color w:val="231F20"/>
        </w:rPr>
        <w:t>(</w:t>
      </w:r>
      <w:r>
        <w:rPr>
          <w:rFonts w:ascii="Microsoft YaHei" w:hAnsi="Microsoft YaHei" w:eastAsia="Microsoft YaHei"/>
          <w:color w:val="231F20"/>
        </w:rPr>
        <w:t>西安</w:t>
      </w:r>
      <w:r>
        <w:rPr>
          <w:i/>
          <w:color w:val="231F20"/>
        </w:rPr>
        <w:t>)</w:t>
      </w:r>
      <w:r>
        <w:rPr>
          <w:rFonts w:ascii="Microsoft YaHei" w:hAnsi="Microsoft YaHei" w:eastAsia="Microsoft YaHei"/>
          <w:color w:val="231F20"/>
        </w:rPr>
        <w:t>數字科技有限公司</w:t>
      </w:r>
      <w:r>
        <w:rPr>
          <w:i/>
          <w:color w:val="231F20"/>
          <w:spacing w:val="-10"/>
        </w:rPr>
        <w:t>)</w:t>
      </w:r>
    </w:p>
    <w:p>
      <w:pPr>
        <w:pStyle w:val="BodyText"/>
        <w:spacing w:before="39"/>
        <w:rPr>
          <w:b/>
          <w:i/>
        </w:rPr>
      </w:pPr>
    </w:p>
    <w:p>
      <w:pPr>
        <w:pStyle w:val="ListParagraph"/>
        <w:numPr>
          <w:ilvl w:val="1"/>
          <w:numId w:val="8"/>
        </w:numPr>
        <w:tabs>
          <w:tab w:pos="566" w:val="left" w:leader="none"/>
        </w:tabs>
        <w:spacing w:line="240" w:lineRule="auto" w:before="0" w:after="0"/>
        <w:ind w:left="566" w:right="140" w:hanging="566"/>
        <w:jc w:val="right"/>
        <w:rPr>
          <w:sz w:val="20"/>
        </w:rPr>
      </w:pPr>
      <w:r>
        <w:rPr>
          <w:color w:val="231F20"/>
          <w:sz w:val="20"/>
        </w:rPr>
        <w:t>Company</w:t>
      </w:r>
      <w:r>
        <w:rPr>
          <w:color w:val="231F20"/>
          <w:spacing w:val="29"/>
          <w:sz w:val="20"/>
        </w:rPr>
        <w:t> </w:t>
      </w:r>
      <w:r>
        <w:rPr>
          <w:color w:val="231F20"/>
          <w:sz w:val="20"/>
        </w:rPr>
        <w:t>name</w:t>
      </w:r>
      <w:r>
        <w:rPr>
          <w:color w:val="231F20"/>
          <w:spacing w:val="15"/>
          <w:sz w:val="20"/>
        </w:rPr>
        <w:t>: </w:t>
      </w:r>
      <w:r>
        <w:rPr>
          <w:color w:val="231F20"/>
          <w:sz w:val="20"/>
        </w:rPr>
        <w:t>Giikin</w:t>
      </w:r>
      <w:r>
        <w:rPr>
          <w:color w:val="231F20"/>
          <w:spacing w:val="16"/>
          <w:sz w:val="20"/>
        </w:rPr>
        <w:t> (</w:t>
      </w:r>
      <w:r>
        <w:rPr>
          <w:color w:val="231F20"/>
          <w:sz w:val="20"/>
        </w:rPr>
        <w:t>Xi’an</w:t>
      </w:r>
      <w:r>
        <w:rPr>
          <w:color w:val="231F20"/>
          <w:spacing w:val="15"/>
          <w:sz w:val="20"/>
        </w:rPr>
        <w:t>) </w:t>
      </w:r>
      <w:r>
        <w:rPr>
          <w:color w:val="231F20"/>
          <w:sz w:val="20"/>
        </w:rPr>
        <w:t>Digital</w:t>
      </w:r>
      <w:r>
        <w:rPr>
          <w:color w:val="231F20"/>
          <w:spacing w:val="31"/>
          <w:sz w:val="20"/>
        </w:rPr>
        <w:t> </w:t>
      </w:r>
      <w:r>
        <w:rPr>
          <w:color w:val="231F20"/>
          <w:sz w:val="20"/>
        </w:rPr>
        <w:t>Technology</w:t>
      </w:r>
      <w:r>
        <w:rPr>
          <w:color w:val="231F20"/>
          <w:spacing w:val="32"/>
          <w:sz w:val="20"/>
        </w:rPr>
        <w:t> </w:t>
      </w:r>
      <w:r>
        <w:rPr>
          <w:color w:val="231F20"/>
          <w:sz w:val="20"/>
        </w:rPr>
        <w:t>Co.</w:t>
      </w:r>
      <w:r>
        <w:rPr>
          <w:color w:val="231F20"/>
          <w:spacing w:val="15"/>
          <w:sz w:val="20"/>
        </w:rPr>
        <w:t>, </w:t>
      </w:r>
      <w:r>
        <w:rPr>
          <w:color w:val="231F20"/>
          <w:sz w:val="20"/>
        </w:rPr>
        <w:t>Limited*</w:t>
      </w:r>
      <w:r>
        <w:rPr>
          <w:color w:val="231F20"/>
          <w:spacing w:val="15"/>
          <w:sz w:val="20"/>
        </w:rPr>
        <w:t> (</w:t>
      </w:r>
      <w:r>
        <w:rPr>
          <w:rFonts w:ascii="新細明體" w:hAnsi="新細明體" w:eastAsia="新細明體"/>
          <w:color w:val="231F20"/>
          <w:sz w:val="20"/>
        </w:rPr>
        <w:t>吉客印</w:t>
      </w:r>
      <w:r>
        <w:rPr>
          <w:color w:val="231F20"/>
          <w:sz w:val="20"/>
        </w:rPr>
        <w:t>(</w:t>
      </w:r>
      <w:r>
        <w:rPr>
          <w:rFonts w:ascii="新細明體" w:hAnsi="新細明體" w:eastAsia="新細明體"/>
          <w:color w:val="231F20"/>
          <w:sz w:val="20"/>
        </w:rPr>
        <w:t>西安</w:t>
      </w:r>
      <w:r>
        <w:rPr>
          <w:color w:val="231F20"/>
          <w:spacing w:val="-10"/>
          <w:sz w:val="20"/>
        </w:rPr>
        <w:t>)</w:t>
      </w:r>
    </w:p>
    <w:p>
      <w:pPr>
        <w:pStyle w:val="BodyText"/>
        <w:spacing w:before="14"/>
        <w:ind w:left="2409"/>
      </w:pPr>
      <w:r>
        <w:rPr>
          <w:rFonts w:ascii="新細明體" w:eastAsia="新細明體"/>
          <w:color w:val="231F20"/>
        </w:rPr>
        <w:t>數字科技有限公司</w:t>
      </w:r>
      <w:r>
        <w:rPr>
          <w:color w:val="231F20"/>
          <w:spacing w:val="-10"/>
        </w:rPr>
        <w:t>)</w:t>
      </w:r>
    </w:p>
    <w:p>
      <w:pPr>
        <w:pStyle w:val="BodyText"/>
        <w:spacing w:before="63"/>
      </w:pPr>
    </w:p>
    <w:p>
      <w:pPr>
        <w:pStyle w:val="ListParagraph"/>
        <w:numPr>
          <w:ilvl w:val="1"/>
          <w:numId w:val="8"/>
        </w:numPr>
        <w:tabs>
          <w:tab w:pos="2409" w:val="left" w:leader="none"/>
        </w:tabs>
        <w:spacing w:line="240" w:lineRule="auto" w:before="0" w:after="0"/>
        <w:ind w:left="2409" w:right="0" w:hanging="567"/>
        <w:jc w:val="left"/>
        <w:rPr>
          <w:sz w:val="20"/>
        </w:rPr>
      </w:pPr>
      <w:r>
        <w:rPr>
          <w:color w:val="231F20"/>
          <w:sz w:val="20"/>
        </w:rPr>
        <w:t>Date</w:t>
      </w:r>
      <w:r>
        <w:rPr>
          <w:color w:val="231F20"/>
          <w:spacing w:val="33"/>
          <w:sz w:val="20"/>
        </w:rPr>
        <w:t> </w:t>
      </w:r>
      <w:r>
        <w:rPr>
          <w:color w:val="231F20"/>
          <w:sz w:val="20"/>
        </w:rPr>
        <w:t>of</w:t>
      </w:r>
      <w:r>
        <w:rPr>
          <w:color w:val="231F20"/>
          <w:spacing w:val="33"/>
          <w:sz w:val="20"/>
        </w:rPr>
        <w:t> </w:t>
      </w:r>
      <w:r>
        <w:rPr>
          <w:color w:val="231F20"/>
          <w:sz w:val="20"/>
        </w:rPr>
        <w:t>establishment:</w:t>
      </w:r>
      <w:r>
        <w:rPr>
          <w:color w:val="231F20"/>
          <w:spacing w:val="33"/>
          <w:sz w:val="20"/>
        </w:rPr>
        <w:t> </w:t>
      </w:r>
      <w:r>
        <w:rPr>
          <w:color w:val="231F20"/>
          <w:sz w:val="20"/>
        </w:rPr>
        <w:t>August</w:t>
      </w:r>
      <w:r>
        <w:rPr>
          <w:color w:val="231F20"/>
          <w:spacing w:val="33"/>
          <w:sz w:val="20"/>
        </w:rPr>
        <w:t> </w:t>
      </w:r>
      <w:r>
        <w:rPr>
          <w:color w:val="231F20"/>
          <w:sz w:val="20"/>
        </w:rPr>
        <w:t>3,</w:t>
      </w:r>
      <w:r>
        <w:rPr>
          <w:color w:val="231F20"/>
          <w:spacing w:val="33"/>
          <w:sz w:val="20"/>
        </w:rPr>
        <w:t> </w:t>
      </w:r>
      <w:r>
        <w:rPr>
          <w:color w:val="231F20"/>
          <w:spacing w:val="-4"/>
          <w:sz w:val="20"/>
        </w:rPr>
        <w:t>2017</w:t>
      </w:r>
    </w:p>
    <w:p>
      <w:pPr>
        <w:pStyle w:val="BodyText"/>
        <w:spacing w:before="100"/>
      </w:pPr>
    </w:p>
    <w:p>
      <w:pPr>
        <w:pStyle w:val="ListParagraph"/>
        <w:numPr>
          <w:ilvl w:val="1"/>
          <w:numId w:val="8"/>
        </w:numPr>
        <w:tabs>
          <w:tab w:pos="2409" w:val="left" w:leader="none"/>
        </w:tabs>
        <w:spacing w:line="292" w:lineRule="auto" w:before="0" w:after="0"/>
        <w:ind w:left="2409" w:right="141" w:hanging="567"/>
        <w:jc w:val="both"/>
        <w:rPr>
          <w:sz w:val="20"/>
        </w:rPr>
      </w:pPr>
      <w:r>
        <w:rPr>
          <w:color w:val="231F20"/>
          <w:sz w:val="20"/>
        </w:rPr>
        <w:t>Place of registration: 25th Floor, Luoke Building, No. 37B Tangyan Road, Zhangba Street, High-tech Zone, Xi’an City</w:t>
      </w:r>
    </w:p>
    <w:p>
      <w:pPr>
        <w:pStyle w:val="BodyText"/>
        <w:spacing w:before="49"/>
      </w:pPr>
    </w:p>
    <w:p>
      <w:pPr>
        <w:pStyle w:val="ListParagraph"/>
        <w:numPr>
          <w:ilvl w:val="1"/>
          <w:numId w:val="8"/>
        </w:numPr>
        <w:tabs>
          <w:tab w:pos="2409" w:val="left" w:leader="none"/>
        </w:tabs>
        <w:spacing w:line="240" w:lineRule="auto" w:before="0" w:after="0"/>
        <w:ind w:left="2409" w:right="0" w:hanging="567"/>
        <w:jc w:val="left"/>
        <w:rPr>
          <w:sz w:val="20"/>
        </w:rPr>
      </w:pPr>
      <w:r>
        <w:rPr>
          <w:color w:val="231F20"/>
          <w:sz w:val="20"/>
        </w:rPr>
        <w:t>Registered</w:t>
      </w:r>
      <w:r>
        <w:rPr>
          <w:color w:val="231F20"/>
          <w:spacing w:val="43"/>
          <w:sz w:val="20"/>
        </w:rPr>
        <w:t> </w:t>
      </w:r>
      <w:r>
        <w:rPr>
          <w:color w:val="231F20"/>
          <w:sz w:val="20"/>
        </w:rPr>
        <w:t>capital:</w:t>
      </w:r>
      <w:r>
        <w:rPr>
          <w:color w:val="231F20"/>
          <w:spacing w:val="43"/>
          <w:sz w:val="20"/>
        </w:rPr>
        <w:t> </w:t>
      </w:r>
      <w:r>
        <w:rPr>
          <w:color w:val="231F20"/>
          <w:sz w:val="20"/>
        </w:rPr>
        <w:t>RMB10</w:t>
      </w:r>
      <w:r>
        <w:rPr>
          <w:color w:val="231F20"/>
          <w:spacing w:val="44"/>
          <w:sz w:val="20"/>
        </w:rPr>
        <w:t> </w:t>
      </w:r>
      <w:r>
        <w:rPr>
          <w:color w:val="231F20"/>
          <w:spacing w:val="-2"/>
          <w:sz w:val="20"/>
        </w:rPr>
        <w:t>million</w:t>
      </w:r>
    </w:p>
    <w:p>
      <w:pPr>
        <w:pStyle w:val="BodyText"/>
        <w:spacing w:before="100"/>
      </w:pPr>
    </w:p>
    <w:p>
      <w:pPr>
        <w:pStyle w:val="ListParagraph"/>
        <w:numPr>
          <w:ilvl w:val="1"/>
          <w:numId w:val="8"/>
        </w:numPr>
        <w:tabs>
          <w:tab w:pos="2409" w:val="left" w:leader="none"/>
        </w:tabs>
        <w:spacing w:line="240" w:lineRule="auto" w:before="0" w:after="0"/>
        <w:ind w:left="2409" w:right="0" w:hanging="567"/>
        <w:jc w:val="left"/>
        <w:rPr>
          <w:sz w:val="20"/>
        </w:rPr>
      </w:pPr>
      <w:r>
        <w:rPr>
          <w:color w:val="231F20"/>
          <w:sz w:val="20"/>
        </w:rPr>
        <w:t>Legal</w:t>
      </w:r>
      <w:r>
        <w:rPr>
          <w:color w:val="231F20"/>
          <w:spacing w:val="43"/>
          <w:sz w:val="20"/>
        </w:rPr>
        <w:t> </w:t>
      </w:r>
      <w:r>
        <w:rPr>
          <w:color w:val="231F20"/>
          <w:sz w:val="20"/>
        </w:rPr>
        <w:t>representative:</w:t>
      </w:r>
      <w:r>
        <w:rPr>
          <w:color w:val="231F20"/>
          <w:spacing w:val="45"/>
          <w:sz w:val="20"/>
        </w:rPr>
        <w:t> </w:t>
      </w:r>
      <w:r>
        <w:rPr>
          <w:color w:val="231F20"/>
          <w:sz w:val="20"/>
        </w:rPr>
        <w:t>Wang</w:t>
      </w:r>
      <w:r>
        <w:rPr>
          <w:color w:val="231F20"/>
          <w:spacing w:val="45"/>
          <w:sz w:val="20"/>
        </w:rPr>
        <w:t> </w:t>
      </w:r>
      <w:r>
        <w:rPr>
          <w:color w:val="231F20"/>
          <w:spacing w:val="-2"/>
          <w:sz w:val="20"/>
        </w:rPr>
        <w:t>Yapeng</w:t>
      </w:r>
    </w:p>
    <w:p>
      <w:pPr>
        <w:pStyle w:val="BodyText"/>
        <w:spacing w:before="100"/>
      </w:pPr>
    </w:p>
    <w:p>
      <w:pPr>
        <w:pStyle w:val="ListParagraph"/>
        <w:numPr>
          <w:ilvl w:val="1"/>
          <w:numId w:val="8"/>
        </w:numPr>
        <w:tabs>
          <w:tab w:pos="2409" w:val="left" w:leader="none"/>
        </w:tabs>
        <w:spacing w:line="292" w:lineRule="auto" w:before="0" w:after="0"/>
        <w:ind w:left="2409" w:right="134" w:hanging="567"/>
        <w:jc w:val="both"/>
        <w:rPr>
          <w:sz w:val="20"/>
        </w:rPr>
      </w:pPr>
      <w:r>
        <w:rPr>
          <w:color w:val="231F20"/>
          <w:sz w:val="20"/>
        </w:rPr>
        <w:t>Scope of business: trade agency for online daily necessities; import and export operations of goods and technologies (except for goods and technologies restricted, prohibited, or subject to approval by the government); technical development, technical transfer, and technical consulting of computer software and </w:t>
      </w:r>
      <w:r>
        <w:rPr>
          <w:color w:val="231F20"/>
          <w:sz w:val="20"/>
        </w:rPr>
        <w:t>hardware; design, production, agency, and distribution of advertisements (except for those requiring approval); technical services for e-commerce platforms; internet information services; development, sales, and internet sales of computer software. (Business activities subject to approval according to law may be carried out only after approval by relevant departments)</w:t>
      </w:r>
    </w:p>
    <w:p>
      <w:pPr>
        <w:pStyle w:val="ListParagraph"/>
        <w:spacing w:after="0" w:line="292" w:lineRule="auto"/>
        <w:jc w:val="both"/>
        <w:rPr>
          <w:sz w:val="20"/>
        </w:rPr>
        <w:sectPr>
          <w:pgSz w:w="11910" w:h="15880"/>
          <w:pgMar w:header="567" w:footer="573" w:top="1300" w:bottom="760" w:left="1275" w:right="1275"/>
        </w:sectPr>
      </w:pPr>
    </w:p>
    <w:p>
      <w:pPr>
        <w:pStyle w:val="BodyText"/>
        <w:spacing w:before="144"/>
      </w:pPr>
    </w:p>
    <w:p>
      <w:pPr>
        <w:pStyle w:val="ListParagraph"/>
        <w:numPr>
          <w:ilvl w:val="1"/>
          <w:numId w:val="8"/>
        </w:numPr>
        <w:tabs>
          <w:tab w:pos="2410" w:val="left" w:leader="none"/>
        </w:tabs>
        <w:spacing w:line="292" w:lineRule="auto" w:before="1" w:after="0"/>
        <w:ind w:left="2410" w:right="135" w:hanging="567"/>
        <w:jc w:val="left"/>
        <w:rPr>
          <w:sz w:val="20"/>
        </w:rPr>
      </w:pPr>
      <w:r>
        <w:rPr>
          <w:color w:val="231F20"/>
          <w:sz w:val="20"/>
        </w:rPr>
        <w:t>Related</w:t>
      </w:r>
      <w:r>
        <w:rPr>
          <w:color w:val="231F20"/>
          <w:spacing w:val="40"/>
          <w:sz w:val="20"/>
        </w:rPr>
        <w:t> </w:t>
      </w:r>
      <w:r>
        <w:rPr>
          <w:color w:val="231F20"/>
          <w:sz w:val="20"/>
        </w:rPr>
        <w:t>party</w:t>
      </w:r>
      <w:r>
        <w:rPr>
          <w:color w:val="231F20"/>
          <w:spacing w:val="40"/>
          <w:sz w:val="20"/>
        </w:rPr>
        <w:t> </w:t>
      </w:r>
      <w:r>
        <w:rPr>
          <w:color w:val="231F20"/>
          <w:sz w:val="20"/>
        </w:rPr>
        <w:t>relationship</w:t>
      </w:r>
      <w:r>
        <w:rPr>
          <w:color w:val="231F20"/>
          <w:spacing w:val="40"/>
          <w:sz w:val="20"/>
        </w:rPr>
        <w:t> </w:t>
      </w:r>
      <w:r>
        <w:rPr>
          <w:color w:val="231F20"/>
          <w:sz w:val="20"/>
        </w:rPr>
        <w:t>or</w:t>
      </w:r>
      <w:r>
        <w:rPr>
          <w:color w:val="231F20"/>
          <w:spacing w:val="40"/>
          <w:sz w:val="20"/>
        </w:rPr>
        <w:t> </w:t>
      </w:r>
      <w:r>
        <w:rPr>
          <w:color w:val="231F20"/>
          <w:sz w:val="20"/>
        </w:rPr>
        <w:t>business</w:t>
      </w:r>
      <w:r>
        <w:rPr>
          <w:color w:val="231F20"/>
          <w:spacing w:val="40"/>
          <w:sz w:val="20"/>
        </w:rPr>
        <w:t> </w:t>
      </w:r>
      <w:r>
        <w:rPr>
          <w:color w:val="231F20"/>
          <w:sz w:val="20"/>
        </w:rPr>
        <w:t>association</w:t>
      </w:r>
      <w:r>
        <w:rPr>
          <w:color w:val="231F20"/>
          <w:spacing w:val="40"/>
          <w:sz w:val="20"/>
        </w:rPr>
        <w:t> </w:t>
      </w:r>
      <w:r>
        <w:rPr>
          <w:color w:val="231F20"/>
          <w:sz w:val="20"/>
        </w:rPr>
        <w:t>with</w:t>
      </w:r>
      <w:r>
        <w:rPr>
          <w:color w:val="231F20"/>
          <w:spacing w:val="40"/>
          <w:sz w:val="20"/>
        </w:rPr>
        <w:t> </w:t>
      </w:r>
      <w:r>
        <w:rPr>
          <w:color w:val="231F20"/>
          <w:sz w:val="20"/>
        </w:rPr>
        <w:t>the</w:t>
      </w:r>
      <w:r>
        <w:rPr>
          <w:color w:val="231F20"/>
          <w:spacing w:val="40"/>
          <w:sz w:val="20"/>
        </w:rPr>
        <w:t> </w:t>
      </w:r>
      <w:r>
        <w:rPr>
          <w:color w:val="231F20"/>
          <w:sz w:val="20"/>
        </w:rPr>
        <w:t>Company:</w:t>
      </w:r>
      <w:r>
        <w:rPr>
          <w:color w:val="231F20"/>
          <w:spacing w:val="40"/>
          <w:sz w:val="20"/>
        </w:rPr>
        <w:t> </w:t>
      </w:r>
      <w:r>
        <w:rPr>
          <w:color w:val="231F20"/>
          <w:sz w:val="20"/>
        </w:rPr>
        <w:t>a</w:t>
      </w:r>
      <w:r>
        <w:rPr>
          <w:color w:val="231F20"/>
          <w:spacing w:val="40"/>
          <w:sz w:val="20"/>
        </w:rPr>
        <w:t> </w:t>
      </w:r>
      <w:r>
        <w:rPr>
          <w:color w:val="231F20"/>
          <w:sz w:val="20"/>
        </w:rPr>
        <w:t>wholly- owned subsidiary of the Company</w:t>
      </w:r>
    </w:p>
    <w:p>
      <w:pPr>
        <w:pStyle w:val="BodyText"/>
        <w:spacing w:before="48"/>
      </w:pPr>
    </w:p>
    <w:p>
      <w:pPr>
        <w:pStyle w:val="ListParagraph"/>
        <w:numPr>
          <w:ilvl w:val="1"/>
          <w:numId w:val="8"/>
        </w:numPr>
        <w:tabs>
          <w:tab w:pos="2409" w:val="left" w:leader="none"/>
        </w:tabs>
        <w:spacing w:line="240" w:lineRule="auto" w:before="1" w:after="0"/>
        <w:ind w:left="2409" w:right="0" w:hanging="566"/>
        <w:jc w:val="left"/>
        <w:rPr>
          <w:sz w:val="20"/>
        </w:rPr>
      </w:pPr>
      <w:r>
        <w:rPr>
          <w:color w:val="231F20"/>
          <w:sz w:val="20"/>
        </w:rPr>
        <w:t>Key</w:t>
      </w:r>
      <w:r>
        <w:rPr>
          <w:color w:val="231F20"/>
          <w:spacing w:val="29"/>
          <w:sz w:val="20"/>
        </w:rPr>
        <w:t> </w:t>
      </w:r>
      <w:r>
        <w:rPr>
          <w:color w:val="231F20"/>
          <w:sz w:val="20"/>
        </w:rPr>
        <w:t>financial</w:t>
      </w:r>
      <w:r>
        <w:rPr>
          <w:color w:val="231F20"/>
          <w:spacing w:val="30"/>
          <w:sz w:val="20"/>
        </w:rPr>
        <w:t> </w:t>
      </w:r>
      <w:r>
        <w:rPr>
          <w:color w:val="231F20"/>
          <w:sz w:val="20"/>
        </w:rPr>
        <w:t>data</w:t>
      </w:r>
      <w:r>
        <w:rPr>
          <w:color w:val="231F20"/>
          <w:spacing w:val="30"/>
          <w:sz w:val="20"/>
        </w:rPr>
        <w:t> </w:t>
      </w:r>
      <w:r>
        <w:rPr>
          <w:color w:val="231F20"/>
          <w:sz w:val="20"/>
        </w:rPr>
        <w:t>for</w:t>
      </w:r>
      <w:r>
        <w:rPr>
          <w:color w:val="231F20"/>
          <w:spacing w:val="29"/>
          <w:sz w:val="20"/>
        </w:rPr>
        <w:t> </w:t>
      </w:r>
      <w:r>
        <w:rPr>
          <w:color w:val="231F20"/>
          <w:sz w:val="20"/>
        </w:rPr>
        <w:t>the</w:t>
      </w:r>
      <w:r>
        <w:rPr>
          <w:color w:val="231F20"/>
          <w:spacing w:val="30"/>
          <w:sz w:val="20"/>
        </w:rPr>
        <w:t> </w:t>
      </w:r>
      <w:r>
        <w:rPr>
          <w:color w:val="231F20"/>
          <w:sz w:val="20"/>
        </w:rPr>
        <w:t>latest</w:t>
      </w:r>
      <w:r>
        <w:rPr>
          <w:color w:val="231F20"/>
          <w:spacing w:val="30"/>
          <w:sz w:val="20"/>
        </w:rPr>
        <w:t> </w:t>
      </w:r>
      <w:r>
        <w:rPr>
          <w:color w:val="231F20"/>
          <w:sz w:val="20"/>
        </w:rPr>
        <w:t>financial</w:t>
      </w:r>
      <w:r>
        <w:rPr>
          <w:color w:val="231F20"/>
          <w:spacing w:val="29"/>
          <w:sz w:val="20"/>
        </w:rPr>
        <w:t> </w:t>
      </w:r>
      <w:r>
        <w:rPr>
          <w:color w:val="231F20"/>
          <w:sz w:val="20"/>
        </w:rPr>
        <w:t>year</w:t>
      </w:r>
      <w:r>
        <w:rPr>
          <w:color w:val="231F20"/>
          <w:spacing w:val="30"/>
          <w:sz w:val="20"/>
        </w:rPr>
        <w:t> </w:t>
      </w:r>
      <w:r>
        <w:rPr>
          <w:color w:val="231F20"/>
          <w:sz w:val="20"/>
        </w:rPr>
        <w:t>and</w:t>
      </w:r>
      <w:r>
        <w:rPr>
          <w:color w:val="231F20"/>
          <w:spacing w:val="30"/>
          <w:sz w:val="20"/>
        </w:rPr>
        <w:t> </w:t>
      </w:r>
      <w:r>
        <w:rPr>
          <w:color w:val="231F20"/>
          <w:sz w:val="20"/>
        </w:rPr>
        <w:t>the</w:t>
      </w:r>
      <w:r>
        <w:rPr>
          <w:color w:val="231F20"/>
          <w:spacing w:val="29"/>
          <w:sz w:val="20"/>
        </w:rPr>
        <w:t> </w:t>
      </w:r>
      <w:r>
        <w:rPr>
          <w:color w:val="231F20"/>
          <w:sz w:val="20"/>
        </w:rPr>
        <w:t>subsequent</w:t>
      </w:r>
      <w:r>
        <w:rPr>
          <w:color w:val="231F20"/>
          <w:spacing w:val="30"/>
          <w:sz w:val="20"/>
        </w:rPr>
        <w:t> </w:t>
      </w:r>
      <w:r>
        <w:rPr>
          <w:color w:val="231F20"/>
          <w:sz w:val="20"/>
        </w:rPr>
        <w:t>interim</w:t>
      </w:r>
      <w:r>
        <w:rPr>
          <w:color w:val="231F20"/>
          <w:spacing w:val="30"/>
          <w:sz w:val="20"/>
        </w:rPr>
        <w:t> </w:t>
      </w:r>
      <w:r>
        <w:rPr>
          <w:color w:val="231F20"/>
          <w:spacing w:val="-2"/>
          <w:sz w:val="20"/>
        </w:rPr>
        <w:t>period</w:t>
      </w:r>
    </w:p>
    <w:p>
      <w:pPr>
        <w:pStyle w:val="BodyText"/>
        <w:spacing w:before="9"/>
        <w:rPr>
          <w:sz w:val="19"/>
        </w:rPr>
      </w:pPr>
    </w:p>
    <w:p>
      <w:pPr>
        <w:pStyle w:val="BodyText"/>
        <w:spacing w:after="0"/>
        <w:rPr>
          <w:sz w:val="19"/>
        </w:rPr>
        <w:sectPr>
          <w:pgSz w:w="11910" w:h="15880"/>
          <w:pgMar w:header="567" w:footer="573" w:top="1300" w:bottom="760" w:left="1275" w:right="1275"/>
        </w:sectPr>
      </w:pPr>
    </w:p>
    <w:p>
      <w:pPr>
        <w:pStyle w:val="BodyText"/>
      </w:pPr>
    </w:p>
    <w:p>
      <w:pPr>
        <w:pStyle w:val="BodyText"/>
      </w:pPr>
    </w:p>
    <w:p>
      <w:pPr>
        <w:pStyle w:val="BodyText"/>
      </w:pPr>
    </w:p>
    <w:p>
      <w:pPr>
        <w:pStyle w:val="BodyText"/>
      </w:pPr>
    </w:p>
    <w:p>
      <w:pPr>
        <w:pStyle w:val="BodyText"/>
      </w:pPr>
    </w:p>
    <w:p>
      <w:pPr>
        <w:pStyle w:val="BodyText"/>
        <w:spacing w:before="122"/>
      </w:pPr>
    </w:p>
    <w:p>
      <w:pPr>
        <w:spacing w:before="0"/>
        <w:ind w:left="0" w:right="38" w:firstLine="0"/>
        <w:jc w:val="right"/>
        <w:rPr>
          <w:b/>
          <w:sz w:val="20"/>
        </w:rPr>
      </w:pPr>
      <w:r>
        <w:rPr>
          <w:b/>
          <w:color w:val="231F20"/>
          <w:spacing w:val="-2"/>
          <w:sz w:val="20"/>
        </w:rPr>
        <w:t>Items</w:t>
      </w:r>
    </w:p>
    <w:p>
      <w:pPr>
        <w:spacing w:line="292" w:lineRule="auto" w:before="102"/>
        <w:ind w:left="2410" w:right="64" w:firstLine="839"/>
        <w:jc w:val="right"/>
        <w:rPr>
          <w:b/>
          <w:sz w:val="20"/>
        </w:rPr>
      </w:pPr>
      <w:r>
        <w:rPr/>
        <w:br w:type="column"/>
      </w:r>
      <w:r>
        <w:rPr>
          <w:b/>
          <w:color w:val="231F20"/>
          <w:sz w:val="20"/>
        </w:rPr>
        <w:t>As</w:t>
      </w:r>
      <w:r>
        <w:rPr>
          <w:b/>
          <w:color w:val="231F20"/>
          <w:spacing w:val="-11"/>
          <w:sz w:val="20"/>
        </w:rPr>
        <w:t> </w:t>
      </w:r>
      <w:r>
        <w:rPr>
          <w:b/>
          <w:color w:val="231F20"/>
          <w:sz w:val="20"/>
        </w:rPr>
        <w:t>at June 30, 2025/ For the period from January to June 2025</w:t>
      </w:r>
    </w:p>
    <w:p>
      <w:pPr>
        <w:spacing w:line="227" w:lineRule="exact" w:before="0"/>
        <w:ind w:left="0" w:right="0" w:firstLine="0"/>
        <w:jc w:val="right"/>
        <w:rPr>
          <w:b/>
          <w:sz w:val="20"/>
        </w:rPr>
      </w:pPr>
      <w:r>
        <w:rPr>
          <w:b/>
          <w:color w:val="231F20"/>
          <w:spacing w:val="-2"/>
          <w:sz w:val="20"/>
        </w:rPr>
        <w:t>(Unaudited)</w:t>
      </w:r>
    </w:p>
    <w:p>
      <w:pPr>
        <w:spacing w:line="292" w:lineRule="auto" w:before="102"/>
        <w:ind w:left="146" w:right="135" w:firstLine="983"/>
        <w:jc w:val="right"/>
        <w:rPr>
          <w:b/>
          <w:sz w:val="20"/>
        </w:rPr>
      </w:pPr>
      <w:r>
        <w:rPr/>
        <w:br w:type="column"/>
      </w:r>
      <w:r>
        <w:rPr>
          <w:b/>
          <w:color w:val="231F20"/>
          <w:sz w:val="20"/>
        </w:rPr>
        <w:t>As</w:t>
      </w:r>
      <w:r>
        <w:rPr>
          <w:b/>
          <w:color w:val="231F20"/>
          <w:spacing w:val="-8"/>
          <w:sz w:val="20"/>
        </w:rPr>
        <w:t> </w:t>
      </w:r>
      <w:r>
        <w:rPr>
          <w:b/>
          <w:color w:val="231F20"/>
          <w:sz w:val="20"/>
        </w:rPr>
        <w:t>at December 31, 2024/For period from</w:t>
      </w:r>
      <w:r>
        <w:rPr>
          <w:b/>
          <w:color w:val="231F20"/>
          <w:spacing w:val="29"/>
          <w:sz w:val="20"/>
        </w:rPr>
        <w:t> </w:t>
      </w:r>
      <w:r>
        <w:rPr>
          <w:b/>
          <w:color w:val="231F20"/>
          <w:sz w:val="20"/>
        </w:rPr>
        <w:t>January</w:t>
      </w:r>
      <w:r>
        <w:rPr>
          <w:b/>
          <w:color w:val="231F20"/>
          <w:spacing w:val="80"/>
          <w:sz w:val="20"/>
        </w:rPr>
        <w:t> </w:t>
      </w:r>
      <w:r>
        <w:rPr>
          <w:b/>
          <w:color w:val="231F20"/>
          <w:sz w:val="20"/>
        </w:rPr>
        <w:t>to December</w:t>
      </w:r>
    </w:p>
    <w:p>
      <w:pPr>
        <w:spacing w:line="227" w:lineRule="exact" w:before="0"/>
        <w:ind w:left="0" w:right="135" w:firstLine="0"/>
        <w:jc w:val="right"/>
        <w:rPr>
          <w:b/>
          <w:sz w:val="20"/>
        </w:rPr>
      </w:pPr>
      <w:r>
        <w:rPr>
          <w:b/>
          <w:color w:val="231F20"/>
          <w:spacing w:val="-4"/>
          <w:sz w:val="20"/>
        </w:rPr>
        <w:t>2024</w:t>
      </w:r>
    </w:p>
    <w:p>
      <w:pPr>
        <w:spacing w:before="50"/>
        <w:ind w:left="0" w:right="135" w:firstLine="0"/>
        <w:jc w:val="right"/>
        <w:rPr>
          <w:b/>
          <w:sz w:val="20"/>
        </w:rPr>
      </w:pPr>
      <w:r>
        <w:rPr>
          <w:b/>
          <w:color w:val="231F20"/>
          <w:spacing w:val="-2"/>
          <w:sz w:val="20"/>
        </w:rPr>
        <w:t>(Audited)</w:t>
      </w:r>
    </w:p>
    <w:p>
      <w:pPr>
        <w:spacing w:after="0"/>
        <w:jc w:val="right"/>
        <w:rPr>
          <w:b/>
          <w:sz w:val="20"/>
        </w:rPr>
        <w:sectPr>
          <w:type w:val="continuous"/>
          <w:pgSz w:w="11910" w:h="15880"/>
          <w:pgMar w:header="567" w:footer="573" w:top="1300" w:bottom="280" w:left="1275" w:right="1275"/>
          <w:cols w:num="3" w:equalWidth="0">
            <w:col w:w="2953" w:space="851"/>
            <w:col w:w="3780" w:space="40"/>
            <w:col w:w="1736"/>
          </w:cols>
        </w:sectPr>
      </w:pPr>
    </w:p>
    <w:p>
      <w:pPr>
        <w:pStyle w:val="Heading4"/>
        <w:tabs>
          <w:tab w:pos="1700" w:val="left" w:leader="none"/>
        </w:tabs>
        <w:rPr>
          <w:i/>
        </w:rPr>
      </w:pPr>
      <w:r>
        <w:rPr>
          <w:i/>
          <w:color w:val="231F20"/>
          <w:spacing w:val="-2"/>
          <w:w w:val="105"/>
        </w:rPr>
        <w:t>(RMB)</w:t>
      </w:r>
      <w:r>
        <w:rPr>
          <w:i/>
          <w:color w:val="231F20"/>
        </w:rPr>
        <w:tab/>
      </w:r>
      <w:r>
        <w:rPr>
          <w:i/>
          <w:color w:val="231F20"/>
          <w:spacing w:val="-2"/>
          <w:w w:val="105"/>
        </w:rPr>
        <w:t>(RMB)</w:t>
      </w:r>
    </w:p>
    <w:p>
      <w:pPr>
        <w:pStyle w:val="BodyText"/>
        <w:spacing w:before="100"/>
        <w:rPr>
          <w:b/>
          <w:i/>
        </w:rPr>
      </w:pPr>
    </w:p>
    <w:p>
      <w:pPr>
        <w:pStyle w:val="BodyText"/>
        <w:tabs>
          <w:tab w:pos="6197" w:val="left" w:leader="none"/>
          <w:tab w:pos="7898" w:val="left" w:leader="none"/>
        </w:tabs>
        <w:ind w:left="2410"/>
      </w:pPr>
      <w:r>
        <w:rPr>
          <w:color w:val="231F20"/>
        </w:rPr>
        <w:t>Total</w:t>
      </w:r>
      <w:r>
        <w:rPr>
          <w:color w:val="231F20"/>
          <w:spacing w:val="30"/>
        </w:rPr>
        <w:t> </w:t>
      </w:r>
      <w:r>
        <w:rPr>
          <w:color w:val="231F20"/>
          <w:spacing w:val="-2"/>
        </w:rPr>
        <w:t>assets</w:t>
      </w:r>
      <w:r>
        <w:rPr>
          <w:color w:val="231F20"/>
        </w:rPr>
        <w:tab/>
      </w:r>
      <w:r>
        <w:rPr>
          <w:color w:val="231F20"/>
          <w:spacing w:val="-2"/>
        </w:rPr>
        <w:t>273,200,039.67</w:t>
      </w:r>
      <w:r>
        <w:rPr>
          <w:color w:val="231F20"/>
        </w:rPr>
        <w:tab/>
      </w:r>
      <w:r>
        <w:rPr>
          <w:color w:val="231F20"/>
          <w:spacing w:val="-2"/>
        </w:rPr>
        <w:t>272,162,404.88</w:t>
      </w:r>
    </w:p>
    <w:p>
      <w:pPr>
        <w:pStyle w:val="BodyText"/>
        <w:tabs>
          <w:tab w:pos="6302" w:val="left" w:leader="none"/>
          <w:tab w:pos="8003" w:val="left" w:leader="none"/>
        </w:tabs>
        <w:spacing w:before="50"/>
        <w:ind w:left="2410"/>
      </w:pPr>
      <w:r>
        <w:rPr>
          <w:color w:val="231F20"/>
        </w:rPr>
        <w:t>Total</w:t>
      </w:r>
      <w:r>
        <w:rPr>
          <w:color w:val="231F20"/>
          <w:spacing w:val="30"/>
        </w:rPr>
        <w:t> </w:t>
      </w:r>
      <w:r>
        <w:rPr>
          <w:color w:val="231F20"/>
          <w:spacing w:val="-2"/>
        </w:rPr>
        <w:t>liabilities</w:t>
      </w:r>
      <w:r>
        <w:rPr>
          <w:color w:val="231F20"/>
        </w:rPr>
        <w:tab/>
      </w:r>
      <w:r>
        <w:rPr>
          <w:color w:val="231F20"/>
          <w:spacing w:val="-2"/>
        </w:rPr>
        <w:t>10,559,770.29</w:t>
      </w:r>
      <w:r>
        <w:rPr>
          <w:color w:val="231F20"/>
        </w:rPr>
        <w:tab/>
      </w:r>
      <w:r>
        <w:rPr>
          <w:color w:val="231F20"/>
          <w:spacing w:val="-2"/>
        </w:rPr>
        <w:t>11,727,634.95</w:t>
      </w:r>
    </w:p>
    <w:p>
      <w:pPr>
        <w:pStyle w:val="BodyText"/>
        <w:tabs>
          <w:tab w:pos="6197" w:val="left" w:leader="none"/>
          <w:tab w:pos="7898" w:val="left" w:leader="none"/>
        </w:tabs>
        <w:spacing w:before="50"/>
        <w:ind w:left="2410"/>
      </w:pPr>
      <w:r>
        <w:rPr>
          <w:color w:val="231F20"/>
        </w:rPr>
        <w:t>Net</w:t>
      </w:r>
      <w:r>
        <w:rPr>
          <w:color w:val="231F20"/>
          <w:spacing w:val="20"/>
        </w:rPr>
        <w:t> </w:t>
      </w:r>
      <w:r>
        <w:rPr>
          <w:color w:val="231F20"/>
          <w:spacing w:val="-2"/>
        </w:rPr>
        <w:t>assets</w:t>
      </w:r>
      <w:r>
        <w:rPr>
          <w:color w:val="231F20"/>
        </w:rPr>
        <w:tab/>
      </w:r>
      <w:r>
        <w:rPr>
          <w:color w:val="231F20"/>
          <w:spacing w:val="-2"/>
        </w:rPr>
        <w:t>262,640,269.38</w:t>
      </w:r>
      <w:r>
        <w:rPr>
          <w:color w:val="231F20"/>
        </w:rPr>
        <w:tab/>
      </w:r>
      <w:r>
        <w:rPr>
          <w:color w:val="231F20"/>
          <w:spacing w:val="-2"/>
        </w:rPr>
        <w:t>260,434,769.93</w:t>
      </w:r>
    </w:p>
    <w:p>
      <w:pPr>
        <w:pStyle w:val="BodyText"/>
        <w:tabs>
          <w:tab w:pos="6302" w:val="left" w:leader="none"/>
          <w:tab w:pos="8003" w:val="left" w:leader="none"/>
        </w:tabs>
        <w:spacing w:before="50"/>
        <w:ind w:left="2410"/>
      </w:pPr>
      <w:r>
        <w:rPr>
          <w:color w:val="231F20"/>
        </w:rPr>
        <w:t>Operating</w:t>
      </w:r>
      <w:r>
        <w:rPr>
          <w:color w:val="231F20"/>
          <w:spacing w:val="50"/>
        </w:rPr>
        <w:t> </w:t>
      </w:r>
      <w:r>
        <w:rPr>
          <w:color w:val="231F20"/>
          <w:spacing w:val="-2"/>
        </w:rPr>
        <w:t>revenue</w:t>
      </w:r>
      <w:r>
        <w:rPr>
          <w:color w:val="231F20"/>
        </w:rPr>
        <w:tab/>
      </w:r>
      <w:r>
        <w:rPr>
          <w:color w:val="231F20"/>
          <w:spacing w:val="-2"/>
        </w:rPr>
        <w:t>11,100,000.00</w:t>
      </w:r>
      <w:r>
        <w:rPr>
          <w:color w:val="231F20"/>
        </w:rPr>
        <w:tab/>
      </w:r>
      <w:r>
        <w:rPr>
          <w:color w:val="231F20"/>
          <w:spacing w:val="-2"/>
        </w:rPr>
        <w:t>34,182,838.00</w:t>
      </w:r>
    </w:p>
    <w:p>
      <w:pPr>
        <w:pStyle w:val="BodyText"/>
        <w:tabs>
          <w:tab w:pos="6407" w:val="left" w:leader="none"/>
          <w:tab w:pos="8003" w:val="left" w:leader="none"/>
        </w:tabs>
        <w:spacing w:before="50"/>
        <w:ind w:left="2410"/>
      </w:pPr>
      <w:r>
        <w:rPr>
          <w:color w:val="231F20"/>
        </w:rPr>
        <w:t>Total</w:t>
      </w:r>
      <w:r>
        <w:rPr>
          <w:color w:val="231F20"/>
          <w:spacing w:val="30"/>
        </w:rPr>
        <w:t> </w:t>
      </w:r>
      <w:r>
        <w:rPr>
          <w:color w:val="231F20"/>
          <w:spacing w:val="-2"/>
        </w:rPr>
        <w:t>profit</w:t>
      </w:r>
      <w:r>
        <w:rPr>
          <w:color w:val="231F20"/>
        </w:rPr>
        <w:tab/>
      </w:r>
      <w:r>
        <w:rPr>
          <w:color w:val="231F20"/>
          <w:spacing w:val="-2"/>
        </w:rPr>
        <w:t>2,225,589.93</w:t>
      </w:r>
      <w:r>
        <w:rPr>
          <w:color w:val="231F20"/>
        </w:rPr>
        <w:tab/>
      </w:r>
      <w:r>
        <w:rPr>
          <w:color w:val="231F20"/>
          <w:spacing w:val="-2"/>
        </w:rPr>
        <w:t>16,556,403.96</w:t>
      </w:r>
    </w:p>
    <w:p>
      <w:pPr>
        <w:pStyle w:val="BodyText"/>
        <w:tabs>
          <w:tab w:pos="6407" w:val="left" w:leader="none"/>
          <w:tab w:pos="8003" w:val="left" w:leader="none"/>
        </w:tabs>
        <w:spacing w:before="50"/>
        <w:ind w:left="2410"/>
      </w:pPr>
      <w:r>
        <w:rPr>
          <w:color w:val="231F20"/>
        </w:rPr>
        <w:t>Net</w:t>
      </w:r>
      <w:r>
        <w:rPr>
          <w:color w:val="231F20"/>
          <w:spacing w:val="20"/>
        </w:rPr>
        <w:t> </w:t>
      </w:r>
      <w:r>
        <w:rPr>
          <w:color w:val="231F20"/>
          <w:spacing w:val="-2"/>
        </w:rPr>
        <w:t>profit</w:t>
      </w:r>
      <w:r>
        <w:rPr>
          <w:color w:val="231F20"/>
        </w:rPr>
        <w:tab/>
      </w:r>
      <w:r>
        <w:rPr>
          <w:color w:val="231F20"/>
          <w:spacing w:val="-2"/>
        </w:rPr>
        <w:t>2,128,819.44</w:t>
      </w:r>
      <w:r>
        <w:rPr>
          <w:color w:val="231F20"/>
        </w:rPr>
        <w:tab/>
      </w:r>
      <w:r>
        <w:rPr>
          <w:color w:val="231F20"/>
          <w:spacing w:val="-2"/>
        </w:rPr>
        <w:t>14,187,698.01</w:t>
      </w:r>
    </w:p>
    <w:p>
      <w:pPr>
        <w:pStyle w:val="BodyText"/>
        <w:spacing w:before="100"/>
      </w:pPr>
    </w:p>
    <w:p>
      <w:pPr>
        <w:pStyle w:val="ListParagraph"/>
        <w:numPr>
          <w:ilvl w:val="1"/>
          <w:numId w:val="8"/>
        </w:numPr>
        <w:tabs>
          <w:tab w:pos="2410" w:val="left" w:leader="none"/>
        </w:tabs>
        <w:spacing w:line="240" w:lineRule="auto" w:before="0" w:after="0"/>
        <w:ind w:left="2410" w:right="0" w:hanging="567"/>
        <w:jc w:val="left"/>
        <w:rPr>
          <w:sz w:val="20"/>
        </w:rPr>
      </w:pPr>
      <w:r>
        <w:rPr>
          <w:color w:val="231F20"/>
          <w:sz w:val="20"/>
        </w:rPr>
        <w:t>Credit</w:t>
      </w:r>
      <w:r>
        <w:rPr>
          <w:color w:val="231F20"/>
          <w:spacing w:val="33"/>
          <w:sz w:val="20"/>
        </w:rPr>
        <w:t> </w:t>
      </w:r>
      <w:r>
        <w:rPr>
          <w:color w:val="231F20"/>
          <w:sz w:val="20"/>
        </w:rPr>
        <w:t>rating:</w:t>
      </w:r>
      <w:r>
        <w:rPr>
          <w:color w:val="231F20"/>
          <w:spacing w:val="34"/>
          <w:sz w:val="20"/>
        </w:rPr>
        <w:t> </w:t>
      </w:r>
      <w:r>
        <w:rPr>
          <w:color w:val="231F20"/>
          <w:sz w:val="20"/>
        </w:rPr>
        <w:t>No</w:t>
      </w:r>
      <w:r>
        <w:rPr>
          <w:color w:val="231F20"/>
          <w:spacing w:val="33"/>
          <w:sz w:val="20"/>
        </w:rPr>
        <w:t> </w:t>
      </w:r>
      <w:r>
        <w:rPr>
          <w:color w:val="231F20"/>
          <w:sz w:val="20"/>
        </w:rPr>
        <w:t>external</w:t>
      </w:r>
      <w:r>
        <w:rPr>
          <w:color w:val="231F20"/>
          <w:spacing w:val="34"/>
          <w:sz w:val="20"/>
        </w:rPr>
        <w:t> </w:t>
      </w:r>
      <w:r>
        <w:rPr>
          <w:color w:val="231F20"/>
          <w:sz w:val="20"/>
        </w:rPr>
        <w:t>credit</w:t>
      </w:r>
      <w:r>
        <w:rPr>
          <w:color w:val="231F20"/>
          <w:spacing w:val="33"/>
          <w:sz w:val="20"/>
        </w:rPr>
        <w:t> </w:t>
      </w:r>
      <w:r>
        <w:rPr>
          <w:color w:val="231F20"/>
          <w:spacing w:val="-2"/>
          <w:sz w:val="20"/>
        </w:rPr>
        <w:t>rating</w:t>
      </w:r>
    </w:p>
    <w:p>
      <w:pPr>
        <w:pStyle w:val="BodyText"/>
        <w:spacing w:before="100"/>
      </w:pPr>
    </w:p>
    <w:p>
      <w:pPr>
        <w:pStyle w:val="BodyText"/>
        <w:ind w:left="2410"/>
      </w:pPr>
      <w:r>
        <w:rPr>
          <w:color w:val="231F20"/>
        </w:rPr>
        <w:t>Upon</w:t>
      </w:r>
      <w:r>
        <w:rPr>
          <w:color w:val="231F20"/>
          <w:spacing w:val="34"/>
        </w:rPr>
        <w:t> </w:t>
      </w:r>
      <w:r>
        <w:rPr>
          <w:color w:val="231F20"/>
        </w:rPr>
        <w:t>verification,</w:t>
      </w:r>
      <w:r>
        <w:rPr>
          <w:color w:val="231F20"/>
          <w:spacing w:val="36"/>
        </w:rPr>
        <w:t> </w:t>
      </w:r>
      <w:r>
        <w:rPr>
          <w:color w:val="231F20"/>
        </w:rPr>
        <w:t>Xi’an</w:t>
      </w:r>
      <w:r>
        <w:rPr>
          <w:color w:val="231F20"/>
          <w:spacing w:val="36"/>
        </w:rPr>
        <w:t> </w:t>
      </w:r>
      <w:r>
        <w:rPr>
          <w:color w:val="231F20"/>
        </w:rPr>
        <w:t>Giikin</w:t>
      </w:r>
      <w:r>
        <w:rPr>
          <w:color w:val="231F20"/>
          <w:spacing w:val="35"/>
        </w:rPr>
        <w:t> </w:t>
      </w:r>
      <w:r>
        <w:rPr>
          <w:color w:val="231F20"/>
        </w:rPr>
        <w:t>is</w:t>
      </w:r>
      <w:r>
        <w:rPr>
          <w:color w:val="231F20"/>
          <w:spacing w:val="36"/>
        </w:rPr>
        <w:t> </w:t>
      </w:r>
      <w:r>
        <w:rPr>
          <w:color w:val="231F20"/>
        </w:rPr>
        <w:t>not</w:t>
      </w:r>
      <w:r>
        <w:rPr>
          <w:color w:val="231F20"/>
          <w:spacing w:val="36"/>
        </w:rPr>
        <w:t> </w:t>
      </w:r>
      <w:r>
        <w:rPr>
          <w:color w:val="231F20"/>
        </w:rPr>
        <w:t>an</w:t>
      </w:r>
      <w:r>
        <w:rPr>
          <w:color w:val="231F20"/>
          <w:spacing w:val="35"/>
        </w:rPr>
        <w:t> </w:t>
      </w:r>
      <w:r>
        <w:rPr>
          <w:color w:val="231F20"/>
        </w:rPr>
        <w:t>untrustworthy</w:t>
      </w:r>
      <w:r>
        <w:rPr>
          <w:color w:val="231F20"/>
          <w:spacing w:val="36"/>
        </w:rPr>
        <w:t> </w:t>
      </w:r>
      <w:r>
        <w:rPr>
          <w:color w:val="231F20"/>
        </w:rPr>
        <w:t>judgment</w:t>
      </w:r>
      <w:r>
        <w:rPr>
          <w:color w:val="231F20"/>
          <w:spacing w:val="36"/>
        </w:rPr>
        <w:t> </w:t>
      </w:r>
      <w:r>
        <w:rPr>
          <w:color w:val="231F20"/>
          <w:spacing w:val="-2"/>
        </w:rPr>
        <w:t>defaulter.</w:t>
      </w:r>
    </w:p>
    <w:p>
      <w:pPr>
        <w:pStyle w:val="BodyText"/>
        <w:spacing w:before="100"/>
      </w:pPr>
    </w:p>
    <w:p>
      <w:pPr>
        <w:pStyle w:val="ListParagraph"/>
        <w:numPr>
          <w:ilvl w:val="0"/>
          <w:numId w:val="7"/>
        </w:numPr>
        <w:tabs>
          <w:tab w:pos="1276" w:val="left" w:leader="none"/>
        </w:tabs>
        <w:spacing w:line="240" w:lineRule="auto" w:before="0" w:after="0"/>
        <w:ind w:left="1276" w:right="0" w:hanging="567"/>
        <w:jc w:val="left"/>
        <w:rPr>
          <w:b/>
          <w:sz w:val="20"/>
        </w:rPr>
      </w:pPr>
      <w:r>
        <w:rPr>
          <w:b/>
          <w:color w:val="231F20"/>
          <w:sz w:val="20"/>
        </w:rPr>
        <w:t>Main</w:t>
      </w:r>
      <w:r>
        <w:rPr>
          <w:b/>
          <w:color w:val="231F20"/>
          <w:spacing w:val="29"/>
          <w:sz w:val="20"/>
        </w:rPr>
        <w:t> </w:t>
      </w:r>
      <w:r>
        <w:rPr>
          <w:b/>
          <w:color w:val="231F20"/>
          <w:sz w:val="20"/>
        </w:rPr>
        <w:t>Contents</w:t>
      </w:r>
      <w:r>
        <w:rPr>
          <w:b/>
          <w:color w:val="231F20"/>
          <w:spacing w:val="29"/>
          <w:sz w:val="20"/>
        </w:rPr>
        <w:t> </w:t>
      </w:r>
      <w:r>
        <w:rPr>
          <w:b/>
          <w:color w:val="231F20"/>
          <w:sz w:val="20"/>
        </w:rPr>
        <w:t>of</w:t>
      </w:r>
      <w:r>
        <w:rPr>
          <w:b/>
          <w:color w:val="231F20"/>
          <w:spacing w:val="30"/>
          <w:sz w:val="20"/>
        </w:rPr>
        <w:t> </w:t>
      </w:r>
      <w:r>
        <w:rPr>
          <w:b/>
          <w:color w:val="231F20"/>
          <w:sz w:val="20"/>
        </w:rPr>
        <w:t>the</w:t>
      </w:r>
      <w:r>
        <w:rPr>
          <w:b/>
          <w:color w:val="231F20"/>
          <w:spacing w:val="29"/>
          <w:sz w:val="20"/>
        </w:rPr>
        <w:t> </w:t>
      </w:r>
      <w:r>
        <w:rPr>
          <w:b/>
          <w:color w:val="231F20"/>
          <w:sz w:val="20"/>
        </w:rPr>
        <w:t>Guarantee</w:t>
      </w:r>
      <w:r>
        <w:rPr>
          <w:b/>
          <w:color w:val="231F20"/>
          <w:spacing w:val="30"/>
          <w:sz w:val="20"/>
        </w:rPr>
        <w:t> </w:t>
      </w:r>
      <w:r>
        <w:rPr>
          <w:b/>
          <w:color w:val="231F20"/>
          <w:spacing w:val="-2"/>
          <w:sz w:val="20"/>
        </w:rPr>
        <w:t>Agreements</w:t>
      </w:r>
    </w:p>
    <w:p>
      <w:pPr>
        <w:pStyle w:val="BodyText"/>
        <w:spacing w:before="100"/>
        <w:rPr>
          <w:b/>
        </w:rPr>
      </w:pPr>
    </w:p>
    <w:p>
      <w:pPr>
        <w:pStyle w:val="BodyText"/>
        <w:spacing w:line="292" w:lineRule="auto"/>
        <w:ind w:left="709" w:right="134" w:firstLine="567"/>
        <w:jc w:val="both"/>
      </w:pPr>
      <w:r>
        <w:rPr>
          <w:color w:val="231F20"/>
        </w:rPr>
        <w:t>The Company proposes to provide an additional estimated guarantee amount of RMB250 </w:t>
      </w:r>
      <w:r>
        <w:rPr>
          <w:color w:val="231F20"/>
        </w:rPr>
        <w:t>million to</w:t>
      </w:r>
      <w:r>
        <w:rPr>
          <w:color w:val="231F20"/>
          <w:spacing w:val="40"/>
        </w:rPr>
        <w:t> </w:t>
      </w:r>
      <w:r>
        <w:rPr>
          <w:color w:val="231F20"/>
        </w:rPr>
        <w:t>the</w:t>
      </w:r>
      <w:r>
        <w:rPr>
          <w:color w:val="231F20"/>
          <w:spacing w:val="40"/>
        </w:rPr>
        <w:t> </w:t>
      </w:r>
      <w:r>
        <w:rPr>
          <w:color w:val="231F20"/>
        </w:rPr>
        <w:t>Guaranteed</w:t>
      </w:r>
      <w:r>
        <w:rPr>
          <w:color w:val="231F20"/>
          <w:spacing w:val="40"/>
        </w:rPr>
        <w:t> </w:t>
      </w:r>
      <w:r>
        <w:rPr>
          <w:color w:val="231F20"/>
        </w:rPr>
        <w:t>Parties,</w:t>
      </w:r>
      <w:r>
        <w:rPr>
          <w:color w:val="231F20"/>
          <w:spacing w:val="40"/>
        </w:rPr>
        <w:t> </w:t>
      </w:r>
      <w:r>
        <w:rPr>
          <w:color w:val="231F20"/>
        </w:rPr>
        <w:t>for</w:t>
      </w:r>
      <w:r>
        <w:rPr>
          <w:color w:val="231F20"/>
          <w:spacing w:val="40"/>
        </w:rPr>
        <w:t> </w:t>
      </w:r>
      <w:r>
        <w:rPr>
          <w:color w:val="231F20"/>
        </w:rPr>
        <w:t>the</w:t>
      </w:r>
      <w:r>
        <w:rPr>
          <w:color w:val="231F20"/>
          <w:spacing w:val="40"/>
        </w:rPr>
        <w:t> </w:t>
      </w:r>
      <w:r>
        <w:rPr>
          <w:color w:val="231F20"/>
        </w:rPr>
        <w:t>performance</w:t>
      </w:r>
      <w:r>
        <w:rPr>
          <w:color w:val="231F20"/>
          <w:spacing w:val="40"/>
        </w:rPr>
        <w:t> </w:t>
      </w:r>
      <w:r>
        <w:rPr>
          <w:color w:val="231F20"/>
        </w:rPr>
        <w:t>of</w:t>
      </w:r>
      <w:r>
        <w:rPr>
          <w:color w:val="231F20"/>
          <w:spacing w:val="40"/>
        </w:rPr>
        <w:t> </w:t>
      </w:r>
      <w:r>
        <w:rPr>
          <w:color w:val="231F20"/>
        </w:rPr>
        <w:t>their</w:t>
      </w:r>
      <w:r>
        <w:rPr>
          <w:color w:val="231F20"/>
          <w:spacing w:val="40"/>
        </w:rPr>
        <w:t> </w:t>
      </w:r>
      <w:r>
        <w:rPr>
          <w:color w:val="231F20"/>
        </w:rPr>
        <w:t>obligations</w:t>
      </w:r>
      <w:r>
        <w:rPr>
          <w:color w:val="231F20"/>
          <w:spacing w:val="40"/>
        </w:rPr>
        <w:t> </w:t>
      </w:r>
      <w:r>
        <w:rPr>
          <w:color w:val="231F20"/>
        </w:rPr>
        <w:t>under</w:t>
      </w:r>
      <w:r>
        <w:rPr>
          <w:color w:val="231F20"/>
          <w:spacing w:val="40"/>
        </w:rPr>
        <w:t> </w:t>
      </w:r>
      <w:r>
        <w:rPr>
          <w:color w:val="231F20"/>
        </w:rPr>
        <w:t>the</w:t>
      </w:r>
      <w:r>
        <w:rPr>
          <w:color w:val="231F20"/>
          <w:spacing w:val="40"/>
        </w:rPr>
        <w:t> </w:t>
      </w:r>
      <w:r>
        <w:rPr>
          <w:color w:val="231F20"/>
        </w:rPr>
        <w:t>purchase</w:t>
      </w:r>
      <w:r>
        <w:rPr>
          <w:color w:val="231F20"/>
          <w:spacing w:val="40"/>
        </w:rPr>
        <w:t> </w:t>
      </w:r>
      <w:r>
        <w:rPr>
          <w:color w:val="231F20"/>
        </w:rPr>
        <w:t>contracts</w:t>
      </w:r>
      <w:r>
        <w:rPr>
          <w:color w:val="231F20"/>
          <w:spacing w:val="40"/>
        </w:rPr>
        <w:t> </w:t>
      </w:r>
      <w:r>
        <w:rPr>
          <w:color w:val="231F20"/>
        </w:rPr>
        <w:t>in respect of raw materials/products, which are yet to be signed. The Guaranteed Parties shall, based on</w:t>
      </w:r>
      <w:r>
        <w:rPr>
          <w:color w:val="231F20"/>
          <w:spacing w:val="80"/>
        </w:rPr>
        <w:t> </w:t>
      </w:r>
      <w:r>
        <w:rPr>
          <w:color w:val="231F20"/>
        </w:rPr>
        <w:t>their actual production and operation needs and quotations from suppliers, determine the suppliers, quantities</w:t>
      </w:r>
      <w:r>
        <w:rPr>
          <w:color w:val="231F20"/>
          <w:spacing w:val="30"/>
        </w:rPr>
        <w:t> </w:t>
      </w:r>
      <w:r>
        <w:rPr>
          <w:color w:val="231F20"/>
        </w:rPr>
        <w:t>and</w:t>
      </w:r>
      <w:r>
        <w:rPr>
          <w:color w:val="231F20"/>
          <w:spacing w:val="30"/>
        </w:rPr>
        <w:t> </w:t>
      </w:r>
      <w:r>
        <w:rPr>
          <w:color w:val="231F20"/>
        </w:rPr>
        <w:t>amounts</w:t>
      </w:r>
      <w:r>
        <w:rPr>
          <w:color w:val="231F20"/>
          <w:spacing w:val="30"/>
        </w:rPr>
        <w:t> </w:t>
      </w:r>
      <w:r>
        <w:rPr>
          <w:color w:val="231F20"/>
        </w:rPr>
        <w:t>in</w:t>
      </w:r>
      <w:r>
        <w:rPr>
          <w:color w:val="231F20"/>
          <w:spacing w:val="30"/>
        </w:rPr>
        <w:t> </w:t>
      </w:r>
      <w:r>
        <w:rPr>
          <w:color w:val="231F20"/>
        </w:rPr>
        <w:t>respect</w:t>
      </w:r>
      <w:r>
        <w:rPr>
          <w:color w:val="231F20"/>
          <w:spacing w:val="30"/>
        </w:rPr>
        <w:t> </w:t>
      </w:r>
      <w:r>
        <w:rPr>
          <w:color w:val="231F20"/>
        </w:rPr>
        <w:t>of</w:t>
      </w:r>
      <w:r>
        <w:rPr>
          <w:color w:val="231F20"/>
          <w:spacing w:val="30"/>
        </w:rPr>
        <w:t> </w:t>
      </w:r>
      <w:r>
        <w:rPr>
          <w:color w:val="231F20"/>
        </w:rPr>
        <w:t>the</w:t>
      </w:r>
      <w:r>
        <w:rPr>
          <w:color w:val="231F20"/>
          <w:spacing w:val="30"/>
        </w:rPr>
        <w:t> </w:t>
      </w:r>
      <w:r>
        <w:rPr>
          <w:color w:val="231F20"/>
        </w:rPr>
        <w:t>purchase</w:t>
      </w:r>
      <w:r>
        <w:rPr>
          <w:color w:val="231F20"/>
          <w:spacing w:val="30"/>
        </w:rPr>
        <w:t> </w:t>
      </w:r>
      <w:r>
        <w:rPr>
          <w:color w:val="231F20"/>
        </w:rPr>
        <w:t>of</w:t>
      </w:r>
      <w:r>
        <w:rPr>
          <w:color w:val="231F20"/>
          <w:spacing w:val="30"/>
        </w:rPr>
        <w:t> </w:t>
      </w:r>
      <w:r>
        <w:rPr>
          <w:color w:val="231F20"/>
        </w:rPr>
        <w:t>raw</w:t>
      </w:r>
      <w:r>
        <w:rPr>
          <w:color w:val="231F20"/>
          <w:spacing w:val="30"/>
        </w:rPr>
        <w:t> </w:t>
      </w:r>
      <w:r>
        <w:rPr>
          <w:color w:val="231F20"/>
        </w:rPr>
        <w:t>materials/products.</w:t>
      </w:r>
      <w:r>
        <w:rPr>
          <w:color w:val="231F20"/>
          <w:spacing w:val="30"/>
        </w:rPr>
        <w:t> </w:t>
      </w:r>
      <w:r>
        <w:rPr>
          <w:color w:val="231F20"/>
        </w:rPr>
        <w:t>Should</w:t>
      </w:r>
      <w:r>
        <w:rPr>
          <w:color w:val="231F20"/>
          <w:spacing w:val="30"/>
        </w:rPr>
        <w:t> </w:t>
      </w:r>
      <w:r>
        <w:rPr>
          <w:color w:val="231F20"/>
        </w:rPr>
        <w:t>suppliers</w:t>
      </w:r>
      <w:r>
        <w:rPr>
          <w:color w:val="231F20"/>
          <w:spacing w:val="30"/>
        </w:rPr>
        <w:t> </w:t>
      </w:r>
      <w:r>
        <w:rPr>
          <w:color w:val="231F20"/>
        </w:rPr>
        <w:t>require the Company to provide guarantees for the performance of the obligations under the purchase contracts</w:t>
      </w:r>
      <w:r>
        <w:rPr>
          <w:color w:val="231F20"/>
          <w:spacing w:val="80"/>
        </w:rPr>
        <w:t> </w:t>
      </w:r>
      <w:r>
        <w:rPr>
          <w:color w:val="231F20"/>
        </w:rPr>
        <w:t>by the Guaranteed Parties, the Company intends to provide joint and several guarantees within the aforementioned</w:t>
      </w:r>
      <w:r>
        <w:rPr>
          <w:color w:val="231F20"/>
          <w:spacing w:val="40"/>
        </w:rPr>
        <w:t> </w:t>
      </w:r>
      <w:r>
        <w:rPr>
          <w:color w:val="231F20"/>
        </w:rPr>
        <w:t>amount.</w:t>
      </w:r>
      <w:r>
        <w:rPr>
          <w:color w:val="231F20"/>
          <w:spacing w:val="40"/>
        </w:rPr>
        <w:t> </w:t>
      </w:r>
      <w:r>
        <w:rPr>
          <w:color w:val="231F20"/>
        </w:rPr>
        <w:t>The</w:t>
      </w:r>
      <w:r>
        <w:rPr>
          <w:color w:val="231F20"/>
          <w:spacing w:val="40"/>
        </w:rPr>
        <w:t> </w:t>
      </w:r>
      <w:r>
        <w:rPr>
          <w:color w:val="231F20"/>
        </w:rPr>
        <w:t>specific</w:t>
      </w:r>
      <w:r>
        <w:rPr>
          <w:color w:val="231F20"/>
          <w:spacing w:val="40"/>
        </w:rPr>
        <w:t> </w:t>
      </w:r>
      <w:r>
        <w:rPr>
          <w:color w:val="231F20"/>
        </w:rPr>
        <w:t>guarantee</w:t>
      </w:r>
      <w:r>
        <w:rPr>
          <w:color w:val="231F20"/>
          <w:spacing w:val="40"/>
        </w:rPr>
        <w:t> </w:t>
      </w:r>
      <w:r>
        <w:rPr>
          <w:color w:val="231F20"/>
        </w:rPr>
        <w:t>amount,</w:t>
      </w:r>
      <w:r>
        <w:rPr>
          <w:color w:val="231F20"/>
          <w:spacing w:val="40"/>
        </w:rPr>
        <w:t> </w:t>
      </w:r>
      <w:r>
        <w:rPr>
          <w:color w:val="231F20"/>
        </w:rPr>
        <w:t>guarantee</w:t>
      </w:r>
      <w:r>
        <w:rPr>
          <w:color w:val="231F20"/>
          <w:spacing w:val="40"/>
        </w:rPr>
        <w:t> </w:t>
      </w:r>
      <w:r>
        <w:rPr>
          <w:color w:val="231F20"/>
        </w:rPr>
        <w:t>model,</w:t>
      </w:r>
      <w:r>
        <w:rPr>
          <w:color w:val="231F20"/>
          <w:spacing w:val="40"/>
        </w:rPr>
        <w:t> </w:t>
      </w:r>
      <w:r>
        <w:rPr>
          <w:color w:val="231F20"/>
        </w:rPr>
        <w:t>and</w:t>
      </w:r>
      <w:r>
        <w:rPr>
          <w:color w:val="231F20"/>
          <w:spacing w:val="40"/>
        </w:rPr>
        <w:t> </w:t>
      </w:r>
      <w:r>
        <w:rPr>
          <w:color w:val="231F20"/>
        </w:rPr>
        <w:t>guarantee</w:t>
      </w:r>
      <w:r>
        <w:rPr>
          <w:color w:val="231F20"/>
          <w:spacing w:val="40"/>
        </w:rPr>
        <w:t> </w:t>
      </w:r>
      <w:r>
        <w:rPr>
          <w:color w:val="231F20"/>
        </w:rPr>
        <w:t>term</w:t>
      </w:r>
      <w:r>
        <w:rPr>
          <w:color w:val="231F20"/>
          <w:spacing w:val="40"/>
        </w:rPr>
        <w:t> </w:t>
      </w:r>
      <w:r>
        <w:rPr>
          <w:color w:val="231F20"/>
        </w:rPr>
        <w:t>shall be</w:t>
      </w:r>
      <w:r>
        <w:rPr>
          <w:color w:val="231F20"/>
          <w:spacing w:val="40"/>
        </w:rPr>
        <w:t> </w:t>
      </w:r>
      <w:r>
        <w:rPr>
          <w:color w:val="231F20"/>
        </w:rPr>
        <w:t>subject</w:t>
      </w:r>
      <w:r>
        <w:rPr>
          <w:color w:val="231F20"/>
          <w:spacing w:val="40"/>
        </w:rPr>
        <w:t> </w:t>
      </w:r>
      <w:r>
        <w:rPr>
          <w:color w:val="231F20"/>
        </w:rPr>
        <w:t>to</w:t>
      </w:r>
      <w:r>
        <w:rPr>
          <w:color w:val="231F20"/>
          <w:spacing w:val="40"/>
        </w:rPr>
        <w:t> </w:t>
      </w:r>
      <w:r>
        <w:rPr>
          <w:color w:val="231F20"/>
        </w:rPr>
        <w:t>the</w:t>
      </w:r>
      <w:r>
        <w:rPr>
          <w:color w:val="231F20"/>
          <w:spacing w:val="40"/>
        </w:rPr>
        <w:t> </w:t>
      </w:r>
      <w:r>
        <w:rPr>
          <w:color w:val="231F20"/>
        </w:rPr>
        <w:t>finalized</w:t>
      </w:r>
      <w:r>
        <w:rPr>
          <w:color w:val="231F20"/>
          <w:spacing w:val="40"/>
        </w:rPr>
        <w:t> </w:t>
      </w:r>
      <w:r>
        <w:rPr>
          <w:color w:val="231F20"/>
        </w:rPr>
        <w:t>contracts</w:t>
      </w:r>
      <w:r>
        <w:rPr>
          <w:color w:val="231F20"/>
          <w:spacing w:val="40"/>
        </w:rPr>
        <w:t> </w:t>
      </w:r>
      <w:r>
        <w:rPr>
          <w:color w:val="231F20"/>
        </w:rPr>
        <w:t>signed</w:t>
      </w:r>
      <w:r>
        <w:rPr>
          <w:color w:val="231F20"/>
          <w:spacing w:val="40"/>
        </w:rPr>
        <w:t> </w:t>
      </w:r>
      <w:r>
        <w:rPr>
          <w:color w:val="231F20"/>
        </w:rPr>
        <w:t>by</w:t>
      </w:r>
      <w:r>
        <w:rPr>
          <w:color w:val="231F20"/>
          <w:spacing w:val="40"/>
        </w:rPr>
        <w:t> </w:t>
      </w:r>
      <w:r>
        <w:rPr>
          <w:color w:val="231F20"/>
        </w:rPr>
        <w:t>all</w:t>
      </w:r>
      <w:r>
        <w:rPr>
          <w:color w:val="231F20"/>
          <w:spacing w:val="40"/>
        </w:rPr>
        <w:t> </w:t>
      </w:r>
      <w:r>
        <w:rPr>
          <w:color w:val="231F20"/>
        </w:rPr>
        <w:t>parties.</w:t>
      </w:r>
    </w:p>
    <w:p>
      <w:pPr>
        <w:pStyle w:val="BodyText"/>
        <w:spacing w:after="0" w:line="292" w:lineRule="auto"/>
        <w:jc w:val="both"/>
        <w:sectPr>
          <w:type w:val="continuous"/>
          <w:pgSz w:w="11910" w:h="15880"/>
          <w:pgMar w:header="567" w:footer="573" w:top="1300" w:bottom="280" w:left="1275" w:right="1275"/>
        </w:sectPr>
      </w:pPr>
    </w:p>
    <w:p>
      <w:pPr>
        <w:pStyle w:val="BodyText"/>
        <w:spacing w:before="144"/>
      </w:pPr>
    </w:p>
    <w:p>
      <w:pPr>
        <w:pStyle w:val="ListParagraph"/>
        <w:numPr>
          <w:ilvl w:val="0"/>
          <w:numId w:val="7"/>
        </w:numPr>
        <w:tabs>
          <w:tab w:pos="1276" w:val="left" w:leader="none"/>
        </w:tabs>
        <w:spacing w:line="240" w:lineRule="auto" w:before="1" w:after="0"/>
        <w:ind w:left="1276" w:right="0" w:hanging="567"/>
        <w:jc w:val="left"/>
        <w:rPr>
          <w:b/>
          <w:sz w:val="20"/>
        </w:rPr>
      </w:pPr>
      <w:r>
        <w:rPr>
          <w:b/>
          <w:color w:val="231F20"/>
          <w:sz w:val="20"/>
        </w:rPr>
        <w:t>Opinions</w:t>
      </w:r>
      <w:r>
        <w:rPr>
          <w:b/>
          <w:color w:val="231F20"/>
          <w:spacing w:val="26"/>
          <w:sz w:val="20"/>
        </w:rPr>
        <w:t> </w:t>
      </w:r>
      <w:r>
        <w:rPr>
          <w:b/>
          <w:color w:val="231F20"/>
          <w:sz w:val="20"/>
        </w:rPr>
        <w:t>of</w:t>
      </w:r>
      <w:r>
        <w:rPr>
          <w:b/>
          <w:color w:val="231F20"/>
          <w:spacing w:val="27"/>
          <w:sz w:val="20"/>
        </w:rPr>
        <w:t> </w:t>
      </w:r>
      <w:r>
        <w:rPr>
          <w:b/>
          <w:color w:val="231F20"/>
          <w:sz w:val="20"/>
        </w:rPr>
        <w:t>the</w:t>
      </w:r>
      <w:r>
        <w:rPr>
          <w:b/>
          <w:color w:val="231F20"/>
          <w:spacing w:val="27"/>
          <w:sz w:val="20"/>
        </w:rPr>
        <w:t> </w:t>
      </w:r>
      <w:r>
        <w:rPr>
          <w:b/>
          <w:color w:val="231F20"/>
          <w:spacing w:val="-2"/>
          <w:sz w:val="20"/>
        </w:rPr>
        <w:t>Board</w:t>
      </w:r>
    </w:p>
    <w:p>
      <w:pPr>
        <w:pStyle w:val="BodyText"/>
        <w:spacing w:before="100"/>
        <w:rPr>
          <w:b/>
        </w:rPr>
      </w:pPr>
    </w:p>
    <w:p>
      <w:pPr>
        <w:pStyle w:val="ListParagraph"/>
        <w:numPr>
          <w:ilvl w:val="0"/>
          <w:numId w:val="9"/>
        </w:numPr>
        <w:tabs>
          <w:tab w:pos="1843" w:val="left" w:leader="none"/>
        </w:tabs>
        <w:spacing w:line="292" w:lineRule="auto" w:before="0" w:after="0"/>
        <w:ind w:left="1843" w:right="134" w:hanging="567"/>
        <w:jc w:val="both"/>
        <w:rPr>
          <w:sz w:val="20"/>
        </w:rPr>
      </w:pPr>
      <w:r>
        <w:rPr>
          <w:color w:val="231F20"/>
          <w:sz w:val="20"/>
        </w:rPr>
        <w:t>The</w:t>
      </w:r>
      <w:r>
        <w:rPr>
          <w:color w:val="231F20"/>
          <w:spacing w:val="40"/>
          <w:sz w:val="20"/>
        </w:rPr>
        <w:t> </w:t>
      </w:r>
      <w:r>
        <w:rPr>
          <w:color w:val="231F20"/>
          <w:sz w:val="20"/>
        </w:rPr>
        <w:t>Company’s</w:t>
      </w:r>
      <w:r>
        <w:rPr>
          <w:color w:val="231F20"/>
          <w:spacing w:val="40"/>
          <w:sz w:val="20"/>
        </w:rPr>
        <w:t> </w:t>
      </w:r>
      <w:r>
        <w:rPr>
          <w:color w:val="231F20"/>
          <w:sz w:val="20"/>
        </w:rPr>
        <w:t>proposed</w:t>
      </w:r>
      <w:r>
        <w:rPr>
          <w:color w:val="231F20"/>
          <w:spacing w:val="40"/>
          <w:sz w:val="20"/>
        </w:rPr>
        <w:t> </w:t>
      </w:r>
      <w:r>
        <w:rPr>
          <w:color w:val="231F20"/>
          <w:sz w:val="20"/>
        </w:rPr>
        <w:t>additional</w:t>
      </w:r>
      <w:r>
        <w:rPr>
          <w:color w:val="231F20"/>
          <w:spacing w:val="40"/>
          <w:sz w:val="20"/>
        </w:rPr>
        <w:t> </w:t>
      </w:r>
      <w:r>
        <w:rPr>
          <w:color w:val="231F20"/>
          <w:sz w:val="20"/>
        </w:rPr>
        <w:t>estimated</w:t>
      </w:r>
      <w:r>
        <w:rPr>
          <w:color w:val="231F20"/>
          <w:spacing w:val="40"/>
          <w:sz w:val="20"/>
        </w:rPr>
        <w:t> </w:t>
      </w:r>
      <w:r>
        <w:rPr>
          <w:color w:val="231F20"/>
          <w:sz w:val="20"/>
        </w:rPr>
        <w:t>guarantee</w:t>
      </w:r>
      <w:r>
        <w:rPr>
          <w:color w:val="231F20"/>
          <w:spacing w:val="40"/>
          <w:sz w:val="20"/>
        </w:rPr>
        <w:t> </w:t>
      </w:r>
      <w:r>
        <w:rPr>
          <w:color w:val="231F20"/>
          <w:sz w:val="20"/>
        </w:rPr>
        <w:t>amount</w:t>
      </w:r>
      <w:r>
        <w:rPr>
          <w:color w:val="231F20"/>
          <w:spacing w:val="40"/>
          <w:sz w:val="20"/>
        </w:rPr>
        <w:t> </w:t>
      </w:r>
      <w:r>
        <w:rPr>
          <w:color w:val="231F20"/>
          <w:sz w:val="20"/>
        </w:rPr>
        <w:t>for</w:t>
      </w:r>
      <w:r>
        <w:rPr>
          <w:color w:val="231F20"/>
          <w:spacing w:val="40"/>
          <w:sz w:val="20"/>
        </w:rPr>
        <w:t> </w:t>
      </w:r>
      <w:r>
        <w:rPr>
          <w:color w:val="231F20"/>
          <w:sz w:val="20"/>
        </w:rPr>
        <w:t>the</w:t>
      </w:r>
      <w:r>
        <w:rPr>
          <w:color w:val="231F20"/>
          <w:spacing w:val="40"/>
          <w:sz w:val="20"/>
        </w:rPr>
        <w:t> </w:t>
      </w:r>
      <w:r>
        <w:rPr>
          <w:color w:val="231F20"/>
          <w:sz w:val="20"/>
        </w:rPr>
        <w:t>performance of</w:t>
      </w:r>
      <w:r>
        <w:rPr>
          <w:color w:val="231F20"/>
          <w:spacing w:val="39"/>
          <w:sz w:val="20"/>
        </w:rPr>
        <w:t> </w:t>
      </w:r>
      <w:r>
        <w:rPr>
          <w:color w:val="231F20"/>
          <w:sz w:val="20"/>
        </w:rPr>
        <w:t>obligations</w:t>
      </w:r>
      <w:r>
        <w:rPr>
          <w:color w:val="231F20"/>
          <w:spacing w:val="40"/>
          <w:sz w:val="20"/>
        </w:rPr>
        <w:t> </w:t>
      </w:r>
      <w:r>
        <w:rPr>
          <w:color w:val="231F20"/>
          <w:sz w:val="20"/>
        </w:rPr>
        <w:t>under</w:t>
      </w:r>
      <w:r>
        <w:rPr>
          <w:color w:val="231F20"/>
          <w:spacing w:val="40"/>
          <w:sz w:val="20"/>
        </w:rPr>
        <w:t> </w:t>
      </w:r>
      <w:r>
        <w:rPr>
          <w:color w:val="231F20"/>
          <w:sz w:val="20"/>
        </w:rPr>
        <w:t>certain</w:t>
      </w:r>
      <w:r>
        <w:rPr>
          <w:color w:val="231F20"/>
          <w:spacing w:val="40"/>
          <w:sz w:val="20"/>
        </w:rPr>
        <w:t> </w:t>
      </w:r>
      <w:r>
        <w:rPr>
          <w:color w:val="231F20"/>
          <w:sz w:val="20"/>
        </w:rPr>
        <w:t>purchase</w:t>
      </w:r>
      <w:r>
        <w:rPr>
          <w:color w:val="231F20"/>
          <w:spacing w:val="40"/>
          <w:sz w:val="20"/>
        </w:rPr>
        <w:t> </w:t>
      </w:r>
      <w:r>
        <w:rPr>
          <w:color w:val="231F20"/>
          <w:sz w:val="20"/>
        </w:rPr>
        <w:t>contracts</w:t>
      </w:r>
      <w:r>
        <w:rPr>
          <w:color w:val="231F20"/>
          <w:spacing w:val="40"/>
          <w:sz w:val="20"/>
        </w:rPr>
        <w:t> </w:t>
      </w:r>
      <w:r>
        <w:rPr>
          <w:color w:val="231F20"/>
          <w:sz w:val="20"/>
        </w:rPr>
        <w:t>by</w:t>
      </w:r>
      <w:r>
        <w:rPr>
          <w:color w:val="231F20"/>
          <w:spacing w:val="40"/>
          <w:sz w:val="20"/>
        </w:rPr>
        <w:t> </w:t>
      </w:r>
      <w:r>
        <w:rPr>
          <w:color w:val="231F20"/>
          <w:sz w:val="20"/>
        </w:rPr>
        <w:t>the</w:t>
      </w:r>
      <w:r>
        <w:rPr>
          <w:color w:val="231F20"/>
          <w:spacing w:val="40"/>
          <w:sz w:val="20"/>
        </w:rPr>
        <w:t> </w:t>
      </w:r>
      <w:r>
        <w:rPr>
          <w:color w:val="231F20"/>
          <w:sz w:val="20"/>
        </w:rPr>
        <w:t>Guaranteed</w:t>
      </w:r>
      <w:r>
        <w:rPr>
          <w:color w:val="231F20"/>
          <w:spacing w:val="40"/>
          <w:sz w:val="20"/>
        </w:rPr>
        <w:t> </w:t>
      </w:r>
      <w:r>
        <w:rPr>
          <w:color w:val="231F20"/>
          <w:sz w:val="20"/>
        </w:rPr>
        <w:t>Parties</w:t>
      </w:r>
      <w:r>
        <w:rPr>
          <w:color w:val="231F20"/>
          <w:spacing w:val="40"/>
          <w:sz w:val="20"/>
        </w:rPr>
        <w:t> </w:t>
      </w:r>
      <w:r>
        <w:rPr>
          <w:color w:val="231F20"/>
          <w:sz w:val="20"/>
        </w:rPr>
        <w:t>is</w:t>
      </w:r>
      <w:r>
        <w:rPr>
          <w:color w:val="231F20"/>
          <w:spacing w:val="40"/>
          <w:sz w:val="20"/>
        </w:rPr>
        <w:t> </w:t>
      </w:r>
      <w:r>
        <w:rPr>
          <w:color w:val="231F20"/>
          <w:sz w:val="20"/>
        </w:rPr>
        <w:t>conducive to</w:t>
      </w:r>
      <w:r>
        <w:rPr>
          <w:color w:val="231F20"/>
          <w:spacing w:val="33"/>
          <w:sz w:val="20"/>
        </w:rPr>
        <w:t> </w:t>
      </w:r>
      <w:r>
        <w:rPr>
          <w:color w:val="231F20"/>
          <w:sz w:val="20"/>
        </w:rPr>
        <w:t>meeting</w:t>
      </w:r>
      <w:r>
        <w:rPr>
          <w:color w:val="231F20"/>
          <w:spacing w:val="33"/>
          <w:sz w:val="20"/>
        </w:rPr>
        <w:t> </w:t>
      </w:r>
      <w:r>
        <w:rPr>
          <w:color w:val="231F20"/>
          <w:sz w:val="20"/>
        </w:rPr>
        <w:t>the</w:t>
      </w:r>
      <w:r>
        <w:rPr>
          <w:color w:val="231F20"/>
          <w:spacing w:val="33"/>
          <w:sz w:val="20"/>
        </w:rPr>
        <w:t> </w:t>
      </w:r>
      <w:r>
        <w:rPr>
          <w:color w:val="231F20"/>
          <w:sz w:val="20"/>
        </w:rPr>
        <w:t>needs</w:t>
      </w:r>
      <w:r>
        <w:rPr>
          <w:color w:val="231F20"/>
          <w:spacing w:val="33"/>
          <w:sz w:val="20"/>
        </w:rPr>
        <w:t> </w:t>
      </w:r>
      <w:r>
        <w:rPr>
          <w:color w:val="231F20"/>
          <w:sz w:val="20"/>
        </w:rPr>
        <w:t>of</w:t>
      </w:r>
      <w:r>
        <w:rPr>
          <w:color w:val="231F20"/>
          <w:spacing w:val="33"/>
          <w:sz w:val="20"/>
        </w:rPr>
        <w:t> </w:t>
      </w:r>
      <w:r>
        <w:rPr>
          <w:color w:val="231F20"/>
          <w:sz w:val="20"/>
        </w:rPr>
        <w:t>business</w:t>
      </w:r>
      <w:r>
        <w:rPr>
          <w:color w:val="231F20"/>
          <w:spacing w:val="33"/>
          <w:sz w:val="20"/>
        </w:rPr>
        <w:t> </w:t>
      </w:r>
      <w:r>
        <w:rPr>
          <w:color w:val="231F20"/>
          <w:sz w:val="20"/>
        </w:rPr>
        <w:t>development</w:t>
      </w:r>
      <w:r>
        <w:rPr>
          <w:color w:val="231F20"/>
          <w:spacing w:val="33"/>
          <w:sz w:val="20"/>
        </w:rPr>
        <w:t> </w:t>
      </w:r>
      <w:r>
        <w:rPr>
          <w:color w:val="231F20"/>
          <w:sz w:val="20"/>
        </w:rPr>
        <w:t>and</w:t>
      </w:r>
      <w:r>
        <w:rPr>
          <w:color w:val="231F20"/>
          <w:spacing w:val="33"/>
          <w:sz w:val="20"/>
        </w:rPr>
        <w:t> </w:t>
      </w:r>
      <w:r>
        <w:rPr>
          <w:color w:val="231F20"/>
          <w:sz w:val="20"/>
        </w:rPr>
        <w:t>day-to-day</w:t>
      </w:r>
      <w:r>
        <w:rPr>
          <w:color w:val="231F20"/>
          <w:spacing w:val="33"/>
          <w:sz w:val="20"/>
        </w:rPr>
        <w:t> </w:t>
      </w:r>
      <w:r>
        <w:rPr>
          <w:color w:val="231F20"/>
          <w:sz w:val="20"/>
        </w:rPr>
        <w:t>operational</w:t>
      </w:r>
      <w:r>
        <w:rPr>
          <w:color w:val="231F20"/>
          <w:spacing w:val="33"/>
          <w:sz w:val="20"/>
        </w:rPr>
        <w:t> </w:t>
      </w:r>
      <w:r>
        <w:rPr>
          <w:color w:val="231F20"/>
          <w:sz w:val="20"/>
        </w:rPr>
        <w:t>management;</w:t>
      </w:r>
    </w:p>
    <w:p>
      <w:pPr>
        <w:pStyle w:val="BodyText"/>
        <w:spacing w:before="48"/>
      </w:pPr>
    </w:p>
    <w:p>
      <w:pPr>
        <w:pStyle w:val="ListParagraph"/>
        <w:numPr>
          <w:ilvl w:val="0"/>
          <w:numId w:val="9"/>
        </w:numPr>
        <w:tabs>
          <w:tab w:pos="1843" w:val="left" w:leader="none"/>
        </w:tabs>
        <w:spacing w:line="292" w:lineRule="auto" w:before="0" w:after="0"/>
        <w:ind w:left="1843" w:right="133" w:hanging="567"/>
        <w:jc w:val="both"/>
        <w:rPr>
          <w:sz w:val="20"/>
        </w:rPr>
      </w:pPr>
      <w:r>
        <w:rPr>
          <w:color w:val="231F20"/>
          <w:sz w:val="20"/>
        </w:rPr>
        <w:t>The Company can exercise effective control over the operational management, financial control,</w:t>
      </w:r>
      <w:r>
        <w:rPr>
          <w:color w:val="231F20"/>
          <w:spacing w:val="40"/>
          <w:sz w:val="20"/>
        </w:rPr>
        <w:t> </w:t>
      </w:r>
      <w:r>
        <w:rPr>
          <w:color w:val="231F20"/>
          <w:sz w:val="20"/>
        </w:rPr>
        <w:t>and</w:t>
      </w:r>
      <w:r>
        <w:rPr>
          <w:color w:val="231F20"/>
          <w:spacing w:val="40"/>
          <w:sz w:val="20"/>
        </w:rPr>
        <w:t> </w:t>
      </w:r>
      <w:r>
        <w:rPr>
          <w:color w:val="231F20"/>
          <w:sz w:val="20"/>
        </w:rPr>
        <w:t>investment</w:t>
      </w:r>
      <w:r>
        <w:rPr>
          <w:color w:val="231F20"/>
          <w:spacing w:val="40"/>
          <w:sz w:val="20"/>
        </w:rPr>
        <w:t> </w:t>
      </w:r>
      <w:r>
        <w:rPr>
          <w:color w:val="231F20"/>
          <w:sz w:val="20"/>
        </w:rPr>
        <w:t>and</w:t>
      </w:r>
      <w:r>
        <w:rPr>
          <w:color w:val="231F20"/>
          <w:spacing w:val="40"/>
          <w:sz w:val="20"/>
        </w:rPr>
        <w:t> </w:t>
      </w:r>
      <w:r>
        <w:rPr>
          <w:color w:val="231F20"/>
          <w:sz w:val="20"/>
        </w:rPr>
        <w:t>financing</w:t>
      </w:r>
      <w:r>
        <w:rPr>
          <w:color w:val="231F20"/>
          <w:spacing w:val="40"/>
          <w:sz w:val="20"/>
        </w:rPr>
        <w:t> </w:t>
      </w:r>
      <w:r>
        <w:rPr>
          <w:color w:val="231F20"/>
          <w:sz w:val="20"/>
        </w:rPr>
        <w:t>of</w:t>
      </w:r>
      <w:r>
        <w:rPr>
          <w:color w:val="231F20"/>
          <w:spacing w:val="40"/>
          <w:sz w:val="20"/>
        </w:rPr>
        <w:t> </w:t>
      </w:r>
      <w:r>
        <w:rPr>
          <w:color w:val="231F20"/>
          <w:sz w:val="20"/>
        </w:rPr>
        <w:t>the</w:t>
      </w:r>
      <w:r>
        <w:rPr>
          <w:color w:val="231F20"/>
          <w:spacing w:val="40"/>
          <w:sz w:val="20"/>
        </w:rPr>
        <w:t> </w:t>
      </w:r>
      <w:r>
        <w:rPr>
          <w:color w:val="231F20"/>
          <w:sz w:val="20"/>
        </w:rPr>
        <w:t>Guaranteed</w:t>
      </w:r>
      <w:r>
        <w:rPr>
          <w:color w:val="231F20"/>
          <w:spacing w:val="40"/>
          <w:sz w:val="20"/>
        </w:rPr>
        <w:t> </w:t>
      </w:r>
      <w:r>
        <w:rPr>
          <w:color w:val="231F20"/>
          <w:sz w:val="20"/>
        </w:rPr>
        <w:t>Parties.</w:t>
      </w:r>
      <w:r>
        <w:rPr>
          <w:color w:val="231F20"/>
          <w:spacing w:val="40"/>
          <w:sz w:val="20"/>
        </w:rPr>
        <w:t> </w:t>
      </w:r>
      <w:r>
        <w:rPr>
          <w:color w:val="231F20"/>
          <w:sz w:val="20"/>
        </w:rPr>
        <w:t>The</w:t>
      </w:r>
      <w:r>
        <w:rPr>
          <w:color w:val="231F20"/>
          <w:spacing w:val="40"/>
          <w:sz w:val="20"/>
        </w:rPr>
        <w:t> </w:t>
      </w:r>
      <w:r>
        <w:rPr>
          <w:color w:val="231F20"/>
          <w:sz w:val="20"/>
        </w:rPr>
        <w:t>guarantee</w:t>
      </w:r>
      <w:r>
        <w:rPr>
          <w:color w:val="231F20"/>
          <w:spacing w:val="40"/>
          <w:sz w:val="20"/>
        </w:rPr>
        <w:t> </w:t>
      </w:r>
      <w:r>
        <w:rPr>
          <w:color w:val="231F20"/>
          <w:sz w:val="20"/>
        </w:rPr>
        <w:t>risks are controllable, and the Guaranteed Parties have good credit standings without overdue loans; hence, no counter-guarantees are required. This proposed additional guarantee amount for the performance obligations of the Guaranteed Parties is not expected to adversely</w:t>
      </w:r>
      <w:r>
        <w:rPr>
          <w:color w:val="231F20"/>
          <w:spacing w:val="31"/>
          <w:sz w:val="20"/>
        </w:rPr>
        <w:t> </w:t>
      </w:r>
      <w:r>
        <w:rPr>
          <w:color w:val="231F20"/>
          <w:sz w:val="20"/>
        </w:rPr>
        <w:t>affect</w:t>
      </w:r>
      <w:r>
        <w:rPr>
          <w:color w:val="231F20"/>
          <w:spacing w:val="31"/>
          <w:sz w:val="20"/>
        </w:rPr>
        <w:t> </w:t>
      </w:r>
      <w:r>
        <w:rPr>
          <w:color w:val="231F20"/>
          <w:sz w:val="20"/>
        </w:rPr>
        <w:t>the</w:t>
      </w:r>
      <w:r>
        <w:rPr>
          <w:color w:val="231F20"/>
          <w:spacing w:val="31"/>
          <w:sz w:val="20"/>
        </w:rPr>
        <w:t> </w:t>
      </w:r>
      <w:r>
        <w:rPr>
          <w:color w:val="231F20"/>
          <w:sz w:val="20"/>
        </w:rPr>
        <w:t>Company</w:t>
      </w:r>
      <w:r>
        <w:rPr>
          <w:color w:val="231F20"/>
          <w:spacing w:val="31"/>
          <w:sz w:val="20"/>
        </w:rPr>
        <w:t> </w:t>
      </w:r>
      <w:r>
        <w:rPr>
          <w:color w:val="231F20"/>
          <w:sz w:val="20"/>
        </w:rPr>
        <w:t>and</w:t>
      </w:r>
      <w:r>
        <w:rPr>
          <w:color w:val="231F20"/>
          <w:spacing w:val="31"/>
          <w:sz w:val="20"/>
        </w:rPr>
        <w:t> </w:t>
      </w:r>
      <w:r>
        <w:rPr>
          <w:color w:val="231F20"/>
          <w:sz w:val="20"/>
        </w:rPr>
        <w:t>does</w:t>
      </w:r>
      <w:r>
        <w:rPr>
          <w:color w:val="231F20"/>
          <w:spacing w:val="31"/>
          <w:sz w:val="20"/>
        </w:rPr>
        <w:t> </w:t>
      </w:r>
      <w:r>
        <w:rPr>
          <w:color w:val="231F20"/>
          <w:sz w:val="20"/>
        </w:rPr>
        <w:t>not</w:t>
      </w:r>
      <w:r>
        <w:rPr>
          <w:color w:val="231F20"/>
          <w:spacing w:val="31"/>
          <w:sz w:val="20"/>
        </w:rPr>
        <w:t> </w:t>
      </w:r>
      <w:r>
        <w:rPr>
          <w:color w:val="231F20"/>
          <w:sz w:val="20"/>
        </w:rPr>
        <w:t>prejudice</w:t>
      </w:r>
      <w:r>
        <w:rPr>
          <w:color w:val="231F20"/>
          <w:spacing w:val="31"/>
          <w:sz w:val="20"/>
        </w:rPr>
        <w:t> </w:t>
      </w:r>
      <w:r>
        <w:rPr>
          <w:color w:val="231F20"/>
          <w:sz w:val="20"/>
        </w:rPr>
        <w:t>the</w:t>
      </w:r>
      <w:r>
        <w:rPr>
          <w:color w:val="231F20"/>
          <w:spacing w:val="31"/>
          <w:sz w:val="20"/>
        </w:rPr>
        <w:t> </w:t>
      </w:r>
      <w:r>
        <w:rPr>
          <w:color w:val="231F20"/>
          <w:sz w:val="20"/>
        </w:rPr>
        <w:t>interests</w:t>
      </w:r>
      <w:r>
        <w:rPr>
          <w:color w:val="231F20"/>
          <w:spacing w:val="31"/>
          <w:sz w:val="20"/>
        </w:rPr>
        <w:t> </w:t>
      </w:r>
      <w:r>
        <w:rPr>
          <w:color w:val="231F20"/>
          <w:sz w:val="20"/>
        </w:rPr>
        <w:t>of</w:t>
      </w:r>
      <w:r>
        <w:rPr>
          <w:color w:val="231F20"/>
          <w:spacing w:val="31"/>
          <w:sz w:val="20"/>
        </w:rPr>
        <w:t> </w:t>
      </w:r>
      <w:r>
        <w:rPr>
          <w:color w:val="231F20"/>
          <w:sz w:val="20"/>
        </w:rPr>
        <w:t>the</w:t>
      </w:r>
      <w:r>
        <w:rPr>
          <w:color w:val="231F20"/>
          <w:spacing w:val="31"/>
          <w:sz w:val="20"/>
        </w:rPr>
        <w:t> </w:t>
      </w:r>
      <w:r>
        <w:rPr>
          <w:color w:val="231F20"/>
          <w:sz w:val="20"/>
        </w:rPr>
        <w:t>Company</w:t>
      </w:r>
      <w:r>
        <w:rPr>
          <w:color w:val="231F20"/>
          <w:spacing w:val="31"/>
          <w:sz w:val="20"/>
        </w:rPr>
        <w:t> </w:t>
      </w:r>
      <w:r>
        <w:rPr>
          <w:color w:val="231F20"/>
          <w:sz w:val="20"/>
        </w:rPr>
        <w:t>and its Shareholders.</w:t>
      </w:r>
    </w:p>
    <w:p>
      <w:pPr>
        <w:pStyle w:val="BodyText"/>
        <w:spacing w:before="46"/>
      </w:pPr>
    </w:p>
    <w:p>
      <w:pPr>
        <w:pStyle w:val="ListParagraph"/>
        <w:numPr>
          <w:ilvl w:val="0"/>
          <w:numId w:val="7"/>
        </w:numPr>
        <w:tabs>
          <w:tab w:pos="1276" w:val="left" w:leader="none"/>
        </w:tabs>
        <w:spacing w:line="240" w:lineRule="auto" w:before="0" w:after="0"/>
        <w:ind w:left="1276" w:right="0" w:hanging="567"/>
        <w:jc w:val="left"/>
        <w:rPr>
          <w:b/>
          <w:sz w:val="20"/>
        </w:rPr>
      </w:pPr>
      <w:r>
        <w:rPr>
          <w:b/>
          <w:color w:val="231F20"/>
          <w:sz w:val="20"/>
        </w:rPr>
        <w:t>Cumulative</w:t>
      </w:r>
      <w:r>
        <w:rPr>
          <w:b/>
          <w:color w:val="231F20"/>
          <w:spacing w:val="42"/>
          <w:sz w:val="20"/>
        </w:rPr>
        <w:t> </w:t>
      </w:r>
      <w:r>
        <w:rPr>
          <w:b/>
          <w:color w:val="231F20"/>
          <w:sz w:val="20"/>
        </w:rPr>
        <w:t>External</w:t>
      </w:r>
      <w:r>
        <w:rPr>
          <w:b/>
          <w:color w:val="231F20"/>
          <w:spacing w:val="42"/>
          <w:sz w:val="20"/>
        </w:rPr>
        <w:t> </w:t>
      </w:r>
      <w:r>
        <w:rPr>
          <w:b/>
          <w:color w:val="231F20"/>
          <w:sz w:val="20"/>
        </w:rPr>
        <w:t>Guarantees</w:t>
      </w:r>
      <w:r>
        <w:rPr>
          <w:b/>
          <w:color w:val="231F20"/>
          <w:spacing w:val="43"/>
          <w:sz w:val="20"/>
        </w:rPr>
        <w:t> </w:t>
      </w:r>
      <w:r>
        <w:rPr>
          <w:b/>
          <w:color w:val="231F20"/>
          <w:sz w:val="20"/>
        </w:rPr>
        <w:t>and</w:t>
      </w:r>
      <w:r>
        <w:rPr>
          <w:b/>
          <w:color w:val="231F20"/>
          <w:spacing w:val="42"/>
          <w:sz w:val="20"/>
        </w:rPr>
        <w:t> </w:t>
      </w:r>
      <w:r>
        <w:rPr>
          <w:b/>
          <w:color w:val="231F20"/>
          <w:sz w:val="20"/>
        </w:rPr>
        <w:t>Overdue</w:t>
      </w:r>
      <w:r>
        <w:rPr>
          <w:b/>
          <w:color w:val="231F20"/>
          <w:spacing w:val="42"/>
          <w:sz w:val="20"/>
        </w:rPr>
        <w:t> </w:t>
      </w:r>
      <w:r>
        <w:rPr>
          <w:b/>
          <w:color w:val="231F20"/>
          <w:spacing w:val="-2"/>
          <w:sz w:val="20"/>
        </w:rPr>
        <w:t>Guarantees</w:t>
      </w:r>
    </w:p>
    <w:p>
      <w:pPr>
        <w:pStyle w:val="BodyText"/>
        <w:spacing w:before="100"/>
        <w:rPr>
          <w:b/>
        </w:rPr>
      </w:pPr>
    </w:p>
    <w:p>
      <w:pPr>
        <w:pStyle w:val="BodyText"/>
        <w:spacing w:line="292" w:lineRule="auto"/>
        <w:ind w:left="709" w:right="134" w:firstLine="567"/>
        <w:jc w:val="both"/>
      </w:pPr>
      <w:r>
        <w:rPr>
          <w:color w:val="231F20"/>
        </w:rPr>
        <w:t>As at the date of this circular,</w:t>
      </w:r>
      <w:r>
        <w:rPr>
          <w:color w:val="231F20"/>
        </w:rPr>
        <w:t> the cumulative guarantee balance of the Company and its subsidiaries</w:t>
      </w:r>
      <w:r>
        <w:rPr>
          <w:color w:val="231F20"/>
          <w:spacing w:val="39"/>
        </w:rPr>
        <w:t> </w:t>
      </w:r>
      <w:r>
        <w:rPr>
          <w:color w:val="231F20"/>
        </w:rPr>
        <w:t>amounts</w:t>
      </w:r>
      <w:r>
        <w:rPr>
          <w:color w:val="231F20"/>
          <w:spacing w:val="39"/>
        </w:rPr>
        <w:t> </w:t>
      </w:r>
      <w:r>
        <w:rPr>
          <w:color w:val="231F20"/>
        </w:rPr>
        <w:t>to</w:t>
      </w:r>
      <w:r>
        <w:rPr>
          <w:color w:val="231F20"/>
          <w:spacing w:val="39"/>
        </w:rPr>
        <w:t> </w:t>
      </w:r>
      <w:r>
        <w:rPr>
          <w:color w:val="231F20"/>
        </w:rPr>
        <w:t>RMB235,651,800,</w:t>
      </w:r>
      <w:r>
        <w:rPr>
          <w:color w:val="231F20"/>
          <w:spacing w:val="39"/>
        </w:rPr>
        <w:t> </w:t>
      </w:r>
      <w:r>
        <w:rPr>
          <w:color w:val="231F20"/>
        </w:rPr>
        <w:t>all</w:t>
      </w:r>
      <w:r>
        <w:rPr>
          <w:color w:val="231F20"/>
          <w:spacing w:val="39"/>
        </w:rPr>
        <w:t> </w:t>
      </w:r>
      <w:r>
        <w:rPr>
          <w:color w:val="231F20"/>
        </w:rPr>
        <w:t>of</w:t>
      </w:r>
      <w:r>
        <w:rPr>
          <w:color w:val="231F20"/>
          <w:spacing w:val="39"/>
        </w:rPr>
        <w:t> </w:t>
      </w:r>
      <w:r>
        <w:rPr>
          <w:color w:val="231F20"/>
        </w:rPr>
        <w:t>which</w:t>
      </w:r>
      <w:r>
        <w:rPr>
          <w:color w:val="231F20"/>
          <w:spacing w:val="39"/>
        </w:rPr>
        <w:t> </w:t>
      </w:r>
      <w:r>
        <w:rPr>
          <w:color w:val="231F20"/>
        </w:rPr>
        <w:t>are</w:t>
      </w:r>
      <w:r>
        <w:rPr>
          <w:color w:val="231F20"/>
          <w:spacing w:val="39"/>
        </w:rPr>
        <w:t> </w:t>
      </w:r>
      <w:r>
        <w:rPr>
          <w:color w:val="231F20"/>
        </w:rPr>
        <w:t>guarantees</w:t>
      </w:r>
      <w:r>
        <w:rPr>
          <w:color w:val="231F20"/>
          <w:spacing w:val="39"/>
        </w:rPr>
        <w:t> </w:t>
      </w:r>
      <w:r>
        <w:rPr>
          <w:color w:val="231F20"/>
        </w:rPr>
        <w:t>provided</w:t>
      </w:r>
      <w:r>
        <w:rPr>
          <w:color w:val="231F20"/>
          <w:spacing w:val="39"/>
        </w:rPr>
        <w:t> </w:t>
      </w:r>
      <w:r>
        <w:rPr>
          <w:color w:val="231F20"/>
        </w:rPr>
        <w:t>by</w:t>
      </w:r>
      <w:r>
        <w:rPr>
          <w:color w:val="231F20"/>
          <w:spacing w:val="39"/>
        </w:rPr>
        <w:t> </w:t>
      </w:r>
      <w:r>
        <w:rPr>
          <w:color w:val="231F20"/>
        </w:rPr>
        <w:t>the</w:t>
      </w:r>
      <w:r>
        <w:rPr>
          <w:color w:val="231F20"/>
          <w:spacing w:val="39"/>
        </w:rPr>
        <w:t> </w:t>
      </w:r>
      <w:r>
        <w:rPr>
          <w:color w:val="231F20"/>
        </w:rPr>
        <w:t>Company</w:t>
      </w:r>
      <w:r>
        <w:rPr>
          <w:color w:val="231F20"/>
          <w:spacing w:val="39"/>
        </w:rPr>
        <w:t> </w:t>
      </w:r>
      <w:r>
        <w:rPr>
          <w:color w:val="231F20"/>
        </w:rPr>
        <w:t>to its</w:t>
      </w:r>
      <w:r>
        <w:rPr>
          <w:color w:val="231F20"/>
          <w:spacing w:val="27"/>
        </w:rPr>
        <w:t> </w:t>
      </w:r>
      <w:r>
        <w:rPr>
          <w:color w:val="231F20"/>
        </w:rPr>
        <w:t>controlled</w:t>
      </w:r>
      <w:r>
        <w:rPr>
          <w:color w:val="231F20"/>
          <w:spacing w:val="27"/>
        </w:rPr>
        <w:t> </w:t>
      </w:r>
      <w:r>
        <w:rPr>
          <w:color w:val="231F20"/>
        </w:rPr>
        <w:t>subsidiaries,</w:t>
      </w:r>
      <w:r>
        <w:rPr>
          <w:color w:val="231F20"/>
          <w:spacing w:val="27"/>
        </w:rPr>
        <w:t> </w:t>
      </w:r>
      <w:r>
        <w:rPr>
          <w:color w:val="231F20"/>
        </w:rPr>
        <w:t>representing</w:t>
      </w:r>
      <w:r>
        <w:rPr>
          <w:color w:val="231F20"/>
          <w:spacing w:val="27"/>
        </w:rPr>
        <w:t> </w:t>
      </w:r>
      <w:r>
        <w:rPr>
          <w:color w:val="231F20"/>
        </w:rPr>
        <w:t>10.67%</w:t>
      </w:r>
      <w:r>
        <w:rPr>
          <w:color w:val="231F20"/>
          <w:spacing w:val="27"/>
        </w:rPr>
        <w:t> </w:t>
      </w:r>
      <w:r>
        <w:rPr>
          <w:color w:val="231F20"/>
        </w:rPr>
        <w:t>of</w:t>
      </w:r>
      <w:r>
        <w:rPr>
          <w:color w:val="231F20"/>
          <w:spacing w:val="27"/>
        </w:rPr>
        <w:t> </w:t>
      </w:r>
      <w:r>
        <w:rPr>
          <w:color w:val="231F20"/>
        </w:rPr>
        <w:t>the</w:t>
      </w:r>
      <w:r>
        <w:rPr>
          <w:color w:val="231F20"/>
          <w:spacing w:val="27"/>
        </w:rPr>
        <w:t> </w:t>
      </w:r>
      <w:r>
        <w:rPr>
          <w:color w:val="231F20"/>
        </w:rPr>
        <w:t>Company’s</w:t>
      </w:r>
      <w:r>
        <w:rPr>
          <w:color w:val="231F20"/>
          <w:spacing w:val="27"/>
        </w:rPr>
        <w:t> </w:t>
      </w:r>
      <w:r>
        <w:rPr>
          <w:color w:val="231F20"/>
        </w:rPr>
        <w:t>audited</w:t>
      </w:r>
      <w:r>
        <w:rPr>
          <w:color w:val="231F20"/>
          <w:spacing w:val="27"/>
        </w:rPr>
        <w:t> </w:t>
      </w:r>
      <w:r>
        <w:rPr>
          <w:color w:val="231F20"/>
        </w:rPr>
        <w:t>net</w:t>
      </w:r>
      <w:r>
        <w:rPr>
          <w:color w:val="231F20"/>
          <w:spacing w:val="27"/>
        </w:rPr>
        <w:t> </w:t>
      </w:r>
      <w:r>
        <w:rPr>
          <w:color w:val="231F20"/>
        </w:rPr>
        <w:t>assets</w:t>
      </w:r>
      <w:r>
        <w:rPr>
          <w:color w:val="231F20"/>
          <w:spacing w:val="27"/>
        </w:rPr>
        <w:t> </w:t>
      </w:r>
      <w:r>
        <w:rPr>
          <w:color w:val="231F20"/>
        </w:rPr>
        <w:t>for</w:t>
      </w:r>
      <w:r>
        <w:rPr>
          <w:color w:val="231F20"/>
          <w:spacing w:val="27"/>
        </w:rPr>
        <w:t> </w:t>
      </w:r>
      <w:r>
        <w:rPr>
          <w:color w:val="231F20"/>
        </w:rPr>
        <w:t>2024.</w:t>
      </w:r>
      <w:r>
        <w:rPr>
          <w:color w:val="231F20"/>
          <w:spacing w:val="27"/>
        </w:rPr>
        <w:t> </w:t>
      </w:r>
      <w:r>
        <w:rPr>
          <w:color w:val="231F20"/>
        </w:rPr>
        <w:t>Except for the above-mentioned guarantees within the scope of consolidated financial statements, the Company and its controlled subsidiaries have no other external guarantees, or overdue external guarantees, or external guarantees involving litigation, and there are no circumstances in which losses are to be borne due</w:t>
      </w:r>
      <w:r>
        <w:rPr>
          <w:color w:val="231F20"/>
          <w:spacing w:val="40"/>
        </w:rPr>
        <w:t> </w:t>
      </w:r>
      <w:r>
        <w:rPr>
          <w:color w:val="231F20"/>
        </w:rPr>
        <w:t>to</w:t>
      </w:r>
      <w:r>
        <w:rPr>
          <w:color w:val="231F20"/>
          <w:spacing w:val="40"/>
        </w:rPr>
        <w:t> </w:t>
      </w:r>
      <w:r>
        <w:rPr>
          <w:color w:val="231F20"/>
        </w:rPr>
        <w:t>adverse</w:t>
      </w:r>
      <w:r>
        <w:rPr>
          <w:color w:val="231F20"/>
          <w:spacing w:val="40"/>
        </w:rPr>
        <w:t> </w:t>
      </w:r>
      <w:r>
        <w:rPr>
          <w:color w:val="231F20"/>
        </w:rPr>
        <w:t>judgments</w:t>
      </w:r>
      <w:r>
        <w:rPr>
          <w:color w:val="231F20"/>
          <w:spacing w:val="40"/>
        </w:rPr>
        <w:t> </w:t>
      </w:r>
      <w:r>
        <w:rPr>
          <w:color w:val="231F20"/>
        </w:rPr>
        <w:t>in</w:t>
      </w:r>
      <w:r>
        <w:rPr>
          <w:color w:val="231F20"/>
          <w:spacing w:val="40"/>
        </w:rPr>
        <w:t> </w:t>
      </w:r>
      <w:r>
        <w:rPr>
          <w:color w:val="231F20"/>
        </w:rPr>
        <w:t>lawsuits</w:t>
      </w:r>
      <w:r>
        <w:rPr>
          <w:color w:val="231F20"/>
          <w:spacing w:val="40"/>
        </w:rPr>
        <w:t> </w:t>
      </w:r>
      <w:r>
        <w:rPr>
          <w:color w:val="231F20"/>
        </w:rPr>
        <w:t>concerning</w:t>
      </w:r>
      <w:r>
        <w:rPr>
          <w:color w:val="231F20"/>
          <w:spacing w:val="40"/>
        </w:rPr>
        <w:t> </w:t>
      </w:r>
      <w:r>
        <w:rPr>
          <w:color w:val="231F20"/>
        </w:rPr>
        <w:t>guarantees.</w:t>
      </w:r>
    </w:p>
    <w:p>
      <w:pPr>
        <w:pStyle w:val="BodyText"/>
        <w:spacing w:before="46"/>
      </w:pPr>
    </w:p>
    <w:p>
      <w:pPr>
        <w:pStyle w:val="BodyText"/>
        <w:spacing w:line="292" w:lineRule="auto"/>
        <w:ind w:left="709" w:right="135" w:firstLine="567"/>
        <w:jc w:val="both"/>
      </w:pPr>
      <w:r>
        <w:rPr>
          <w:color w:val="231F20"/>
        </w:rPr>
        <w:t>The proposal has been considered and approved at the 30th meeting of the fifth session of </w:t>
      </w:r>
      <w:r>
        <w:rPr>
          <w:color w:val="231F20"/>
        </w:rPr>
        <w:t>the Board held on August 20, 2025, and is subject to the Shareholders’ consideration and approval at the</w:t>
      </w:r>
      <w:r>
        <w:rPr>
          <w:color w:val="231F20"/>
          <w:spacing w:val="80"/>
        </w:rPr>
        <w:t> </w:t>
      </w:r>
      <w:r>
        <w:rPr>
          <w:color w:val="231F20"/>
        </w:rPr>
        <w:t>2025 Second EGM.</w:t>
      </w:r>
    </w:p>
    <w:p>
      <w:pPr>
        <w:pStyle w:val="BodyText"/>
        <w:spacing w:before="48"/>
      </w:pPr>
    </w:p>
    <w:p>
      <w:pPr>
        <w:pStyle w:val="Heading3"/>
        <w:numPr>
          <w:ilvl w:val="0"/>
          <w:numId w:val="5"/>
        </w:numPr>
        <w:tabs>
          <w:tab w:pos="709" w:val="left" w:leader="none"/>
        </w:tabs>
        <w:spacing w:line="292" w:lineRule="auto" w:before="0" w:after="0"/>
        <w:ind w:left="709" w:right="132" w:hanging="567"/>
        <w:jc w:val="left"/>
      </w:pPr>
      <w:r>
        <w:rPr>
          <w:color w:val="231F20"/>
        </w:rPr>
        <w:t>ADJUSTMENT</w:t>
      </w:r>
      <w:r>
        <w:rPr>
          <w:color w:val="231F20"/>
          <w:spacing w:val="80"/>
        </w:rPr>
        <w:t> </w:t>
      </w:r>
      <w:r>
        <w:rPr>
          <w:color w:val="231F20"/>
        </w:rPr>
        <w:t>TO</w:t>
      </w:r>
      <w:r>
        <w:rPr>
          <w:color w:val="231F20"/>
          <w:spacing w:val="80"/>
        </w:rPr>
        <w:t> </w:t>
      </w:r>
      <w:r>
        <w:rPr>
          <w:color w:val="231F20"/>
        </w:rPr>
        <w:t>THE</w:t>
      </w:r>
      <w:r>
        <w:rPr>
          <w:color w:val="231F20"/>
          <w:spacing w:val="80"/>
        </w:rPr>
        <w:t> </w:t>
      </w:r>
      <w:r>
        <w:rPr>
          <w:color w:val="231F20"/>
        </w:rPr>
        <w:t>LIMIT</w:t>
      </w:r>
      <w:r>
        <w:rPr>
          <w:color w:val="231F20"/>
          <w:spacing w:val="80"/>
        </w:rPr>
        <w:t> </w:t>
      </w:r>
      <w:r>
        <w:rPr>
          <w:color w:val="231F20"/>
        </w:rPr>
        <w:t>FOR</w:t>
      </w:r>
      <w:r>
        <w:rPr>
          <w:color w:val="231F20"/>
          <w:spacing w:val="80"/>
        </w:rPr>
        <w:t> </w:t>
      </w:r>
      <w:r>
        <w:rPr>
          <w:color w:val="231F20"/>
        </w:rPr>
        <w:t>WEALTH</w:t>
      </w:r>
      <w:r>
        <w:rPr>
          <w:color w:val="231F20"/>
          <w:spacing w:val="80"/>
        </w:rPr>
        <w:t> </w:t>
      </w:r>
      <w:r>
        <w:rPr>
          <w:color w:val="231F20"/>
        </w:rPr>
        <w:t>MANAGEMENT</w:t>
      </w:r>
      <w:r>
        <w:rPr>
          <w:color w:val="231F20"/>
          <w:spacing w:val="80"/>
        </w:rPr>
        <w:t> </w:t>
      </w:r>
      <w:r>
        <w:rPr>
          <w:color w:val="231F20"/>
        </w:rPr>
        <w:t>PRODUCTS</w:t>
      </w:r>
      <w:r>
        <w:rPr>
          <w:color w:val="231F20"/>
          <w:spacing w:val="80"/>
        </w:rPr>
        <w:t> </w:t>
      </w:r>
      <w:r>
        <w:rPr>
          <w:color w:val="231F20"/>
        </w:rPr>
        <w:t>USING INTERNAL IDLE FUNDS</w:t>
      </w:r>
    </w:p>
    <w:p>
      <w:pPr>
        <w:pStyle w:val="BodyText"/>
        <w:spacing w:before="49"/>
        <w:rPr>
          <w:b/>
        </w:rPr>
      </w:pPr>
    </w:p>
    <w:p>
      <w:pPr>
        <w:pStyle w:val="BodyText"/>
        <w:spacing w:line="292" w:lineRule="auto"/>
        <w:ind w:left="142" w:right="135" w:firstLine="567"/>
        <w:jc w:val="both"/>
      </w:pPr>
      <w:r>
        <w:rPr>
          <w:color w:val="231F20"/>
        </w:rPr>
        <w:t>An ordinary resolution will be proposed at the 2025 Second EGM to consider and approve the adjustment to</w:t>
      </w:r>
      <w:r>
        <w:rPr>
          <w:color w:val="231F20"/>
          <w:spacing w:val="40"/>
        </w:rPr>
        <w:t> </w:t>
      </w:r>
      <w:r>
        <w:rPr>
          <w:color w:val="231F20"/>
        </w:rPr>
        <w:t>the</w:t>
      </w:r>
      <w:r>
        <w:rPr>
          <w:color w:val="231F20"/>
          <w:spacing w:val="40"/>
        </w:rPr>
        <w:t> </w:t>
      </w:r>
      <w:r>
        <w:rPr>
          <w:color w:val="231F20"/>
        </w:rPr>
        <w:t>limit</w:t>
      </w:r>
      <w:r>
        <w:rPr>
          <w:color w:val="231F20"/>
          <w:spacing w:val="40"/>
        </w:rPr>
        <w:t> </w:t>
      </w:r>
      <w:r>
        <w:rPr>
          <w:color w:val="231F20"/>
        </w:rPr>
        <w:t>for</w:t>
      </w:r>
      <w:r>
        <w:rPr>
          <w:color w:val="231F20"/>
          <w:spacing w:val="40"/>
        </w:rPr>
        <w:t> </w:t>
      </w:r>
      <w:r>
        <w:rPr>
          <w:color w:val="231F20"/>
        </w:rPr>
        <w:t>wealth</w:t>
      </w:r>
      <w:r>
        <w:rPr>
          <w:color w:val="231F20"/>
          <w:spacing w:val="40"/>
        </w:rPr>
        <w:t> </w:t>
      </w:r>
      <w:r>
        <w:rPr>
          <w:color w:val="231F20"/>
        </w:rPr>
        <w:t>management</w:t>
      </w:r>
      <w:r>
        <w:rPr>
          <w:color w:val="231F20"/>
          <w:spacing w:val="40"/>
        </w:rPr>
        <w:t> </w:t>
      </w:r>
      <w:r>
        <w:rPr>
          <w:color w:val="231F20"/>
        </w:rPr>
        <w:t>products</w:t>
      </w:r>
      <w:r>
        <w:rPr>
          <w:color w:val="231F20"/>
          <w:spacing w:val="40"/>
        </w:rPr>
        <w:t> </w:t>
      </w:r>
      <w:r>
        <w:rPr>
          <w:color w:val="231F20"/>
        </w:rPr>
        <w:t>using</w:t>
      </w:r>
      <w:r>
        <w:rPr>
          <w:color w:val="231F20"/>
          <w:spacing w:val="40"/>
        </w:rPr>
        <w:t> </w:t>
      </w:r>
      <w:r>
        <w:rPr>
          <w:color w:val="231F20"/>
        </w:rPr>
        <w:t>internal</w:t>
      </w:r>
      <w:r>
        <w:rPr>
          <w:color w:val="231F20"/>
          <w:spacing w:val="40"/>
        </w:rPr>
        <w:t> </w:t>
      </w:r>
      <w:r>
        <w:rPr>
          <w:color w:val="231F20"/>
        </w:rPr>
        <w:t>idle</w:t>
      </w:r>
      <w:r>
        <w:rPr>
          <w:color w:val="231F20"/>
          <w:spacing w:val="40"/>
        </w:rPr>
        <w:t> </w:t>
      </w:r>
      <w:r>
        <w:rPr>
          <w:color w:val="231F20"/>
        </w:rPr>
        <w:t>funds,</w:t>
      </w:r>
      <w:r>
        <w:rPr>
          <w:color w:val="231F20"/>
          <w:spacing w:val="40"/>
        </w:rPr>
        <w:t> </w:t>
      </w:r>
      <w:r>
        <w:rPr>
          <w:color w:val="231F20"/>
        </w:rPr>
        <w:t>details</w:t>
      </w:r>
      <w:r>
        <w:rPr>
          <w:color w:val="231F20"/>
          <w:spacing w:val="40"/>
        </w:rPr>
        <w:t> </w:t>
      </w:r>
      <w:r>
        <w:rPr>
          <w:color w:val="231F20"/>
        </w:rPr>
        <w:t>of</w:t>
      </w:r>
      <w:r>
        <w:rPr>
          <w:color w:val="231F20"/>
          <w:spacing w:val="40"/>
        </w:rPr>
        <w:t> </w:t>
      </w:r>
      <w:r>
        <w:rPr>
          <w:color w:val="231F20"/>
        </w:rPr>
        <w:t>which</w:t>
      </w:r>
      <w:r>
        <w:rPr>
          <w:color w:val="231F20"/>
          <w:spacing w:val="40"/>
        </w:rPr>
        <w:t> </w:t>
      </w:r>
      <w:r>
        <w:rPr>
          <w:color w:val="231F20"/>
        </w:rPr>
        <w:t>are</w:t>
      </w:r>
      <w:r>
        <w:rPr>
          <w:color w:val="231F20"/>
          <w:spacing w:val="40"/>
        </w:rPr>
        <w:t> </w:t>
      </w:r>
      <w:r>
        <w:rPr>
          <w:color w:val="231F20"/>
        </w:rPr>
        <w:t>as</w:t>
      </w:r>
      <w:r>
        <w:rPr>
          <w:color w:val="231F20"/>
          <w:spacing w:val="40"/>
        </w:rPr>
        <w:t> </w:t>
      </w:r>
      <w:r>
        <w:rPr>
          <w:color w:val="231F20"/>
        </w:rPr>
        <w:t>follows:</w:t>
      </w:r>
    </w:p>
    <w:p>
      <w:pPr>
        <w:pStyle w:val="BodyText"/>
        <w:spacing w:before="49"/>
      </w:pPr>
    </w:p>
    <w:p>
      <w:pPr>
        <w:pStyle w:val="BodyText"/>
        <w:spacing w:line="292" w:lineRule="auto"/>
        <w:ind w:left="142" w:right="133" w:firstLine="567"/>
        <w:jc w:val="both"/>
      </w:pPr>
      <w:r>
        <w:rPr>
          <w:color w:val="231F20"/>
        </w:rPr>
        <w:t>The</w:t>
      </w:r>
      <w:r>
        <w:rPr>
          <w:color w:val="231F20"/>
          <w:spacing w:val="27"/>
        </w:rPr>
        <w:t> </w:t>
      </w:r>
      <w:r>
        <w:rPr>
          <w:color w:val="231F20"/>
        </w:rPr>
        <w:t>Company</w:t>
      </w:r>
      <w:r>
        <w:rPr>
          <w:color w:val="231F20"/>
          <w:spacing w:val="27"/>
        </w:rPr>
        <w:t> </w:t>
      </w:r>
      <w:r>
        <w:rPr>
          <w:color w:val="231F20"/>
        </w:rPr>
        <w:t>and</w:t>
      </w:r>
      <w:r>
        <w:rPr>
          <w:color w:val="231F20"/>
          <w:spacing w:val="27"/>
        </w:rPr>
        <w:t> </w:t>
      </w:r>
      <w:r>
        <w:rPr>
          <w:color w:val="231F20"/>
        </w:rPr>
        <w:t>its</w:t>
      </w:r>
      <w:r>
        <w:rPr>
          <w:color w:val="231F20"/>
          <w:spacing w:val="27"/>
        </w:rPr>
        <w:t> </w:t>
      </w:r>
      <w:r>
        <w:rPr>
          <w:color w:val="231F20"/>
        </w:rPr>
        <w:t>subsidiaries</w:t>
      </w:r>
      <w:r>
        <w:rPr>
          <w:color w:val="231F20"/>
          <w:spacing w:val="27"/>
        </w:rPr>
        <w:t> </w:t>
      </w:r>
      <w:r>
        <w:rPr>
          <w:color w:val="231F20"/>
        </w:rPr>
        <w:t>intend</w:t>
      </w:r>
      <w:r>
        <w:rPr>
          <w:color w:val="231F20"/>
          <w:spacing w:val="27"/>
        </w:rPr>
        <w:t> </w:t>
      </w:r>
      <w:r>
        <w:rPr>
          <w:color w:val="231F20"/>
        </w:rPr>
        <w:t>to</w:t>
      </w:r>
      <w:r>
        <w:rPr>
          <w:color w:val="231F20"/>
          <w:spacing w:val="27"/>
        </w:rPr>
        <w:t> </w:t>
      </w:r>
      <w:r>
        <w:rPr>
          <w:color w:val="231F20"/>
        </w:rPr>
        <w:t>use</w:t>
      </w:r>
      <w:r>
        <w:rPr>
          <w:color w:val="231F20"/>
          <w:spacing w:val="27"/>
        </w:rPr>
        <w:t> </w:t>
      </w:r>
      <w:r>
        <w:rPr>
          <w:color w:val="231F20"/>
        </w:rPr>
        <w:t>no</w:t>
      </w:r>
      <w:r>
        <w:rPr>
          <w:color w:val="231F20"/>
          <w:spacing w:val="27"/>
        </w:rPr>
        <w:t> </w:t>
      </w:r>
      <w:r>
        <w:rPr>
          <w:color w:val="231F20"/>
        </w:rPr>
        <w:t>more</w:t>
      </w:r>
      <w:r>
        <w:rPr>
          <w:color w:val="231F20"/>
          <w:spacing w:val="27"/>
        </w:rPr>
        <w:t> </w:t>
      </w:r>
      <w:r>
        <w:rPr>
          <w:color w:val="231F20"/>
        </w:rPr>
        <w:t>than</w:t>
      </w:r>
      <w:r>
        <w:rPr>
          <w:color w:val="231F20"/>
          <w:spacing w:val="27"/>
        </w:rPr>
        <w:t> </w:t>
      </w:r>
      <w:r>
        <w:rPr>
          <w:color w:val="231F20"/>
        </w:rPr>
        <w:t>RMB500</w:t>
      </w:r>
      <w:r>
        <w:rPr>
          <w:color w:val="231F20"/>
          <w:spacing w:val="27"/>
        </w:rPr>
        <w:t> </w:t>
      </w:r>
      <w:r>
        <w:rPr>
          <w:color w:val="231F20"/>
        </w:rPr>
        <w:t>million</w:t>
      </w:r>
      <w:r>
        <w:rPr>
          <w:color w:val="231F20"/>
          <w:spacing w:val="27"/>
        </w:rPr>
        <w:t> </w:t>
      </w:r>
      <w:r>
        <w:rPr>
          <w:color w:val="231F20"/>
        </w:rPr>
        <w:t>of</w:t>
      </w:r>
      <w:r>
        <w:rPr>
          <w:color w:val="231F20"/>
          <w:spacing w:val="27"/>
        </w:rPr>
        <w:t> </w:t>
      </w:r>
      <w:r>
        <w:rPr>
          <w:color w:val="231F20"/>
        </w:rPr>
        <w:t>internal</w:t>
      </w:r>
      <w:r>
        <w:rPr>
          <w:color w:val="231F20"/>
          <w:spacing w:val="27"/>
        </w:rPr>
        <w:t> </w:t>
      </w:r>
      <w:r>
        <w:rPr>
          <w:color w:val="231F20"/>
        </w:rPr>
        <w:t>idle</w:t>
      </w:r>
      <w:r>
        <w:rPr>
          <w:color w:val="231F20"/>
          <w:spacing w:val="27"/>
        </w:rPr>
        <w:t> </w:t>
      </w:r>
      <w:r>
        <w:rPr>
          <w:color w:val="231F20"/>
        </w:rPr>
        <w:t>funds for</w:t>
      </w:r>
      <w:r>
        <w:rPr>
          <w:color w:val="231F20"/>
          <w:spacing w:val="25"/>
        </w:rPr>
        <w:t> </w:t>
      </w:r>
      <w:r>
        <w:rPr>
          <w:color w:val="231F20"/>
        </w:rPr>
        <w:t>wealth</w:t>
      </w:r>
      <w:r>
        <w:rPr>
          <w:color w:val="231F20"/>
          <w:spacing w:val="25"/>
        </w:rPr>
        <w:t> </w:t>
      </w:r>
      <w:r>
        <w:rPr>
          <w:color w:val="231F20"/>
        </w:rPr>
        <w:t>management</w:t>
      </w:r>
      <w:r>
        <w:rPr>
          <w:color w:val="231F20"/>
          <w:spacing w:val="25"/>
        </w:rPr>
        <w:t> </w:t>
      </w:r>
      <w:r>
        <w:rPr>
          <w:color w:val="231F20"/>
        </w:rPr>
        <w:t>products,</w:t>
      </w:r>
      <w:r>
        <w:rPr>
          <w:color w:val="231F20"/>
          <w:spacing w:val="25"/>
        </w:rPr>
        <w:t> </w:t>
      </w:r>
      <w:r>
        <w:rPr>
          <w:color w:val="231F20"/>
        </w:rPr>
        <w:t>provided</w:t>
      </w:r>
      <w:r>
        <w:rPr>
          <w:color w:val="231F20"/>
          <w:spacing w:val="25"/>
        </w:rPr>
        <w:t> </w:t>
      </w:r>
      <w:r>
        <w:rPr>
          <w:color w:val="231F20"/>
        </w:rPr>
        <w:t>that</w:t>
      </w:r>
      <w:r>
        <w:rPr>
          <w:color w:val="231F20"/>
          <w:spacing w:val="25"/>
        </w:rPr>
        <w:t> </w:t>
      </w:r>
      <w:r>
        <w:rPr>
          <w:color w:val="231F20"/>
        </w:rPr>
        <w:t>daily</w:t>
      </w:r>
      <w:r>
        <w:rPr>
          <w:color w:val="231F20"/>
          <w:spacing w:val="25"/>
        </w:rPr>
        <w:t> </w:t>
      </w:r>
      <w:r>
        <w:rPr>
          <w:color w:val="231F20"/>
        </w:rPr>
        <w:t>operating</w:t>
      </w:r>
      <w:r>
        <w:rPr>
          <w:color w:val="231F20"/>
          <w:spacing w:val="25"/>
        </w:rPr>
        <w:t> </w:t>
      </w:r>
      <w:r>
        <w:rPr>
          <w:color w:val="231F20"/>
        </w:rPr>
        <w:t>capital</w:t>
      </w:r>
      <w:r>
        <w:rPr>
          <w:color w:val="231F20"/>
          <w:spacing w:val="25"/>
        </w:rPr>
        <w:t> </w:t>
      </w:r>
      <w:r>
        <w:rPr>
          <w:color w:val="231F20"/>
        </w:rPr>
        <w:t>requirements</w:t>
      </w:r>
      <w:r>
        <w:rPr>
          <w:color w:val="231F20"/>
          <w:spacing w:val="25"/>
        </w:rPr>
        <w:t> </w:t>
      </w:r>
      <w:r>
        <w:rPr>
          <w:color w:val="231F20"/>
        </w:rPr>
        <w:t>are</w:t>
      </w:r>
      <w:r>
        <w:rPr>
          <w:color w:val="231F20"/>
          <w:spacing w:val="25"/>
        </w:rPr>
        <w:t> </w:t>
      </w:r>
      <w:r>
        <w:rPr>
          <w:color w:val="231F20"/>
        </w:rPr>
        <w:t>guaranteed</w:t>
      </w:r>
      <w:r>
        <w:rPr>
          <w:color w:val="231F20"/>
          <w:spacing w:val="25"/>
        </w:rPr>
        <w:t> </w:t>
      </w:r>
      <w:r>
        <w:rPr>
          <w:color w:val="231F20"/>
        </w:rPr>
        <w:t>and</w:t>
      </w:r>
      <w:r>
        <w:rPr>
          <w:color w:val="231F20"/>
          <w:spacing w:val="25"/>
        </w:rPr>
        <w:t> </w:t>
      </w:r>
      <w:r>
        <w:rPr>
          <w:color w:val="231F20"/>
        </w:rPr>
        <w:t>risks are under effective control. The aforementioned limit is utilized on a revolving basis, and the period for subscription of such wealth management products will be from the date of approval by the Board until the date</w:t>
      </w:r>
      <w:r>
        <w:rPr>
          <w:color w:val="231F20"/>
          <w:spacing w:val="80"/>
        </w:rPr>
        <w:t> </w:t>
      </w:r>
      <w:r>
        <w:rPr>
          <w:color w:val="231F20"/>
        </w:rPr>
        <w:t>of</w:t>
      </w:r>
      <w:r>
        <w:rPr>
          <w:color w:val="231F20"/>
          <w:spacing w:val="22"/>
        </w:rPr>
        <w:t> </w:t>
      </w:r>
      <w:r>
        <w:rPr>
          <w:color w:val="231F20"/>
        </w:rPr>
        <w:t>the</w:t>
      </w:r>
      <w:r>
        <w:rPr>
          <w:color w:val="231F20"/>
          <w:spacing w:val="23"/>
        </w:rPr>
        <w:t> </w:t>
      </w:r>
      <w:r>
        <w:rPr>
          <w:color w:val="231F20"/>
        </w:rPr>
        <w:t>2025</w:t>
      </w:r>
      <w:r>
        <w:rPr>
          <w:color w:val="231F20"/>
          <w:spacing w:val="23"/>
        </w:rPr>
        <w:t> </w:t>
      </w:r>
      <w:r>
        <w:rPr>
          <w:color w:val="231F20"/>
        </w:rPr>
        <w:t>annual</w:t>
      </w:r>
      <w:r>
        <w:rPr>
          <w:color w:val="231F20"/>
          <w:spacing w:val="23"/>
        </w:rPr>
        <w:t> </w:t>
      </w:r>
      <w:r>
        <w:rPr>
          <w:color w:val="231F20"/>
        </w:rPr>
        <w:t>general</w:t>
      </w:r>
      <w:r>
        <w:rPr>
          <w:color w:val="231F20"/>
          <w:spacing w:val="23"/>
        </w:rPr>
        <w:t> </w:t>
      </w:r>
      <w:r>
        <w:rPr>
          <w:color w:val="231F20"/>
        </w:rPr>
        <w:t>meeting</w:t>
      </w:r>
      <w:r>
        <w:rPr>
          <w:color w:val="231F20"/>
          <w:spacing w:val="23"/>
        </w:rPr>
        <w:t> </w:t>
      </w:r>
      <w:r>
        <w:rPr>
          <w:color w:val="231F20"/>
        </w:rPr>
        <w:t>of</w:t>
      </w:r>
      <w:r>
        <w:rPr>
          <w:color w:val="231F20"/>
          <w:spacing w:val="23"/>
        </w:rPr>
        <w:t> </w:t>
      </w:r>
      <w:r>
        <w:rPr>
          <w:color w:val="231F20"/>
        </w:rPr>
        <w:t>the</w:t>
      </w:r>
      <w:r>
        <w:rPr>
          <w:color w:val="231F20"/>
          <w:spacing w:val="23"/>
        </w:rPr>
        <w:t> </w:t>
      </w:r>
      <w:r>
        <w:rPr>
          <w:color w:val="231F20"/>
        </w:rPr>
        <w:t>Company.</w:t>
      </w:r>
      <w:r>
        <w:rPr>
          <w:color w:val="231F20"/>
          <w:spacing w:val="23"/>
        </w:rPr>
        <w:t> </w:t>
      </w:r>
      <w:r>
        <w:rPr>
          <w:color w:val="231F20"/>
        </w:rPr>
        <w:t>For</w:t>
      </w:r>
      <w:r>
        <w:rPr>
          <w:color w:val="231F20"/>
          <w:spacing w:val="23"/>
        </w:rPr>
        <w:t> </w:t>
      </w:r>
      <w:r>
        <w:rPr>
          <w:color w:val="231F20"/>
        </w:rPr>
        <w:t>specific</w:t>
      </w:r>
      <w:r>
        <w:rPr>
          <w:color w:val="231F20"/>
          <w:spacing w:val="23"/>
        </w:rPr>
        <w:t> </w:t>
      </w:r>
      <w:r>
        <w:rPr>
          <w:color w:val="231F20"/>
        </w:rPr>
        <w:t>details,</w:t>
      </w:r>
      <w:r>
        <w:rPr>
          <w:color w:val="231F20"/>
          <w:spacing w:val="23"/>
        </w:rPr>
        <w:t> </w:t>
      </w:r>
      <w:r>
        <w:rPr>
          <w:color w:val="231F20"/>
        </w:rPr>
        <w:t>please</w:t>
      </w:r>
      <w:r>
        <w:rPr>
          <w:color w:val="231F20"/>
          <w:spacing w:val="23"/>
        </w:rPr>
        <w:t> </w:t>
      </w:r>
      <w:r>
        <w:rPr>
          <w:color w:val="231F20"/>
        </w:rPr>
        <w:t>refer</w:t>
      </w:r>
      <w:r>
        <w:rPr>
          <w:color w:val="231F20"/>
          <w:spacing w:val="23"/>
        </w:rPr>
        <w:t> </w:t>
      </w:r>
      <w:r>
        <w:rPr>
          <w:color w:val="231F20"/>
        </w:rPr>
        <w:t>to</w:t>
      </w:r>
      <w:r>
        <w:rPr>
          <w:color w:val="231F20"/>
          <w:spacing w:val="23"/>
        </w:rPr>
        <w:t> </w:t>
      </w:r>
      <w:r>
        <w:rPr>
          <w:color w:val="231F20"/>
        </w:rPr>
        <w:t>the</w:t>
      </w:r>
      <w:r>
        <w:rPr>
          <w:color w:val="231F20"/>
          <w:spacing w:val="23"/>
        </w:rPr>
        <w:t> </w:t>
      </w:r>
      <w:r>
        <w:rPr>
          <w:color w:val="231F20"/>
        </w:rPr>
        <w:t>“Announcement on Wealth Management Using Internal Idle Funds” (Announcement No.: 2025-018) disclosed by the </w:t>
      </w:r>
      <w:r>
        <w:rPr>
          <w:color w:val="231F20"/>
        </w:rPr>
        <w:t>Company on</w:t>
      </w:r>
      <w:r>
        <w:rPr>
          <w:color w:val="231F20"/>
          <w:spacing w:val="40"/>
        </w:rPr>
        <w:t> </w:t>
      </w:r>
      <w:r>
        <w:rPr>
          <w:color w:val="231F20"/>
        </w:rPr>
        <w:t>April</w:t>
      </w:r>
      <w:r>
        <w:rPr>
          <w:color w:val="231F20"/>
          <w:spacing w:val="40"/>
        </w:rPr>
        <w:t> </w:t>
      </w:r>
      <w:r>
        <w:rPr>
          <w:color w:val="231F20"/>
        </w:rPr>
        <w:t>2,</w:t>
      </w:r>
      <w:r>
        <w:rPr>
          <w:color w:val="231F20"/>
          <w:spacing w:val="40"/>
        </w:rPr>
        <w:t> </w:t>
      </w:r>
      <w:r>
        <w:rPr>
          <w:color w:val="231F20"/>
        </w:rPr>
        <w:t>2025</w:t>
      </w:r>
      <w:r>
        <w:rPr>
          <w:color w:val="231F20"/>
          <w:spacing w:val="40"/>
        </w:rPr>
        <w:t> </w:t>
      </w:r>
      <w:r>
        <w:rPr>
          <w:color w:val="231F20"/>
        </w:rPr>
        <w:t>in</w:t>
      </w:r>
      <w:r>
        <w:rPr>
          <w:color w:val="231F20"/>
          <w:spacing w:val="40"/>
        </w:rPr>
        <w:t> </w:t>
      </w:r>
      <w:r>
        <w:rPr>
          <w:color w:val="231F20"/>
        </w:rPr>
        <w:t>the</w:t>
      </w:r>
      <w:r>
        <w:rPr>
          <w:color w:val="231F20"/>
          <w:spacing w:val="40"/>
        </w:rPr>
        <w:t> </w:t>
      </w:r>
      <w:r>
        <w:rPr>
          <w:color w:val="231F20"/>
        </w:rPr>
        <w:t>Securities</w:t>
      </w:r>
      <w:r>
        <w:rPr>
          <w:color w:val="231F20"/>
          <w:spacing w:val="40"/>
        </w:rPr>
        <w:t> </w:t>
      </w:r>
      <w:r>
        <w:rPr>
          <w:color w:val="231F20"/>
        </w:rPr>
        <w:t>Times,</w:t>
      </w:r>
      <w:r>
        <w:rPr>
          <w:color w:val="231F20"/>
          <w:spacing w:val="40"/>
        </w:rPr>
        <w:t> </w:t>
      </w:r>
      <w:r>
        <w:rPr>
          <w:color w:val="231F20"/>
        </w:rPr>
        <w:t>Securities</w:t>
      </w:r>
      <w:r>
        <w:rPr>
          <w:color w:val="231F20"/>
          <w:spacing w:val="40"/>
        </w:rPr>
        <w:t> </w:t>
      </w:r>
      <w:r>
        <w:rPr>
          <w:color w:val="231F20"/>
        </w:rPr>
        <w:t>Daily,</w:t>
      </w:r>
      <w:r>
        <w:rPr>
          <w:color w:val="231F20"/>
          <w:spacing w:val="40"/>
        </w:rPr>
        <w:t> </w:t>
      </w:r>
      <w:r>
        <w:rPr>
          <w:color w:val="231F20"/>
        </w:rPr>
        <w:t>China</w:t>
      </w:r>
      <w:r>
        <w:rPr>
          <w:color w:val="231F20"/>
          <w:spacing w:val="40"/>
        </w:rPr>
        <w:t> </w:t>
      </w:r>
      <w:r>
        <w:rPr>
          <w:color w:val="231F20"/>
        </w:rPr>
        <w:t>Securities</w:t>
      </w:r>
      <w:r>
        <w:rPr>
          <w:color w:val="231F20"/>
          <w:spacing w:val="40"/>
        </w:rPr>
        <w:t> </w:t>
      </w:r>
      <w:r>
        <w:rPr>
          <w:color w:val="231F20"/>
        </w:rPr>
        <w:t>Journal,</w:t>
      </w:r>
      <w:r>
        <w:rPr>
          <w:color w:val="231F20"/>
          <w:spacing w:val="40"/>
        </w:rPr>
        <w:t> </w:t>
      </w:r>
      <w:r>
        <w:rPr>
          <w:color w:val="231F20"/>
        </w:rPr>
        <w:t>Shanghai</w:t>
      </w:r>
      <w:r>
        <w:rPr>
          <w:color w:val="231F20"/>
          <w:spacing w:val="40"/>
        </w:rPr>
        <w:t> </w:t>
      </w:r>
      <w:r>
        <w:rPr>
          <w:color w:val="231F20"/>
        </w:rPr>
        <w:t>Securities News, and CNINFO (</w:t>
      </w:r>
      <w:hyperlink r:id="rId16">
        <w:r>
          <w:rPr>
            <w:color w:val="231F20"/>
          </w:rPr>
          <w:t>www.cninfo.com.cn).</w:t>
        </w:r>
      </w:hyperlink>
    </w:p>
    <w:p>
      <w:pPr>
        <w:pStyle w:val="BodyText"/>
        <w:spacing w:after="0" w:line="292" w:lineRule="auto"/>
        <w:jc w:val="both"/>
        <w:sectPr>
          <w:pgSz w:w="11910" w:h="15880"/>
          <w:pgMar w:header="567" w:footer="573" w:top="1300" w:bottom="760" w:left="1275" w:right="1275"/>
        </w:sectPr>
      </w:pPr>
    </w:p>
    <w:p>
      <w:pPr>
        <w:pStyle w:val="BodyText"/>
        <w:spacing w:before="144"/>
      </w:pPr>
    </w:p>
    <w:p>
      <w:pPr>
        <w:pStyle w:val="BodyText"/>
        <w:spacing w:before="1"/>
        <w:ind w:left="709"/>
      </w:pPr>
      <w:r>
        <w:rPr>
          <w:color w:val="231F20"/>
        </w:rPr>
        <w:t>The</w:t>
      </w:r>
      <w:r>
        <w:rPr>
          <w:color w:val="231F20"/>
          <w:spacing w:val="26"/>
        </w:rPr>
        <w:t> </w:t>
      </w:r>
      <w:r>
        <w:rPr>
          <w:color w:val="231F20"/>
        </w:rPr>
        <w:t>specific</w:t>
      </w:r>
      <w:r>
        <w:rPr>
          <w:color w:val="231F20"/>
          <w:spacing w:val="28"/>
        </w:rPr>
        <w:t> </w:t>
      </w:r>
      <w:r>
        <w:rPr>
          <w:color w:val="231F20"/>
        </w:rPr>
        <w:t>details</w:t>
      </w:r>
      <w:r>
        <w:rPr>
          <w:color w:val="231F20"/>
          <w:spacing w:val="28"/>
        </w:rPr>
        <w:t> </w:t>
      </w:r>
      <w:r>
        <w:rPr>
          <w:color w:val="231F20"/>
        </w:rPr>
        <w:t>are</w:t>
      </w:r>
      <w:r>
        <w:rPr>
          <w:color w:val="231F20"/>
          <w:spacing w:val="28"/>
        </w:rPr>
        <w:t> </w:t>
      </w:r>
      <w:r>
        <w:rPr>
          <w:color w:val="231F20"/>
        </w:rPr>
        <w:t>as</w:t>
      </w:r>
      <w:r>
        <w:rPr>
          <w:color w:val="231F20"/>
          <w:spacing w:val="28"/>
        </w:rPr>
        <w:t> </w:t>
      </w:r>
      <w:r>
        <w:rPr>
          <w:color w:val="231F20"/>
          <w:spacing w:val="-2"/>
        </w:rPr>
        <w:t>follows:</w:t>
      </w:r>
    </w:p>
    <w:p>
      <w:pPr>
        <w:pStyle w:val="BodyText"/>
        <w:spacing w:before="100"/>
      </w:pPr>
    </w:p>
    <w:p>
      <w:pPr>
        <w:pStyle w:val="ListParagraph"/>
        <w:numPr>
          <w:ilvl w:val="0"/>
          <w:numId w:val="10"/>
        </w:numPr>
        <w:tabs>
          <w:tab w:pos="1276" w:val="left" w:leader="none"/>
        </w:tabs>
        <w:spacing w:line="240" w:lineRule="auto" w:before="0" w:after="0"/>
        <w:ind w:left="1276" w:right="0" w:hanging="567"/>
        <w:jc w:val="left"/>
        <w:rPr>
          <w:b/>
          <w:sz w:val="20"/>
        </w:rPr>
      </w:pPr>
      <w:r>
        <w:rPr>
          <w:b/>
          <w:color w:val="231F20"/>
          <w:sz w:val="20"/>
        </w:rPr>
        <w:t>Overview</w:t>
      </w:r>
      <w:r>
        <w:rPr>
          <w:b/>
          <w:color w:val="231F20"/>
          <w:spacing w:val="34"/>
          <w:sz w:val="20"/>
        </w:rPr>
        <w:t> </w:t>
      </w:r>
      <w:r>
        <w:rPr>
          <w:b/>
          <w:color w:val="231F20"/>
          <w:sz w:val="20"/>
        </w:rPr>
        <w:t>of</w:t>
      </w:r>
      <w:r>
        <w:rPr>
          <w:b/>
          <w:color w:val="231F20"/>
          <w:spacing w:val="35"/>
          <w:sz w:val="20"/>
        </w:rPr>
        <w:t> </w:t>
      </w:r>
      <w:r>
        <w:rPr>
          <w:b/>
          <w:color w:val="231F20"/>
          <w:sz w:val="20"/>
        </w:rPr>
        <w:t>The</w:t>
      </w:r>
      <w:r>
        <w:rPr>
          <w:b/>
          <w:color w:val="231F20"/>
          <w:spacing w:val="34"/>
          <w:sz w:val="20"/>
        </w:rPr>
        <w:t> </w:t>
      </w:r>
      <w:r>
        <w:rPr>
          <w:b/>
          <w:color w:val="231F20"/>
          <w:sz w:val="20"/>
        </w:rPr>
        <w:t>Adjusted</w:t>
      </w:r>
      <w:r>
        <w:rPr>
          <w:b/>
          <w:color w:val="231F20"/>
          <w:spacing w:val="35"/>
          <w:sz w:val="20"/>
        </w:rPr>
        <w:t> </w:t>
      </w:r>
      <w:r>
        <w:rPr>
          <w:b/>
          <w:color w:val="231F20"/>
          <w:sz w:val="20"/>
        </w:rPr>
        <w:t>Wealth</w:t>
      </w:r>
      <w:r>
        <w:rPr>
          <w:b/>
          <w:color w:val="231F20"/>
          <w:spacing w:val="34"/>
          <w:sz w:val="20"/>
        </w:rPr>
        <w:t> </w:t>
      </w:r>
      <w:r>
        <w:rPr>
          <w:b/>
          <w:color w:val="231F20"/>
          <w:sz w:val="20"/>
        </w:rPr>
        <w:t>Management</w:t>
      </w:r>
      <w:r>
        <w:rPr>
          <w:b/>
          <w:color w:val="231F20"/>
          <w:spacing w:val="35"/>
          <w:sz w:val="20"/>
        </w:rPr>
        <w:t> </w:t>
      </w:r>
      <w:r>
        <w:rPr>
          <w:b/>
          <w:color w:val="231F20"/>
          <w:spacing w:val="-2"/>
          <w:sz w:val="20"/>
        </w:rPr>
        <w:t>Limit</w:t>
      </w:r>
    </w:p>
    <w:p>
      <w:pPr>
        <w:pStyle w:val="BodyText"/>
        <w:spacing w:before="100"/>
        <w:rPr>
          <w:b/>
        </w:rPr>
      </w:pPr>
    </w:p>
    <w:p>
      <w:pPr>
        <w:pStyle w:val="Heading5"/>
        <w:numPr>
          <w:ilvl w:val="1"/>
          <w:numId w:val="10"/>
        </w:numPr>
        <w:tabs>
          <w:tab w:pos="1843" w:val="left" w:leader="none"/>
        </w:tabs>
        <w:spacing w:line="240" w:lineRule="auto" w:before="0" w:after="0"/>
        <w:ind w:left="1843" w:right="0" w:hanging="567"/>
        <w:jc w:val="left"/>
        <w:rPr>
          <w:color w:val="231F20"/>
        </w:rPr>
      </w:pPr>
      <w:r>
        <w:rPr>
          <w:i/>
          <w:color w:val="231F20"/>
          <w:w w:val="105"/>
        </w:rPr>
        <w:t>Purpose</w:t>
      </w:r>
      <w:r>
        <w:rPr>
          <w:i/>
          <w:color w:val="231F20"/>
          <w:spacing w:val="20"/>
          <w:w w:val="105"/>
        </w:rPr>
        <w:t> </w:t>
      </w:r>
      <w:r>
        <w:rPr>
          <w:i/>
          <w:color w:val="231F20"/>
          <w:w w:val="105"/>
        </w:rPr>
        <w:t>of</w:t>
      </w:r>
      <w:r>
        <w:rPr>
          <w:i/>
          <w:color w:val="231F20"/>
          <w:spacing w:val="20"/>
          <w:w w:val="105"/>
        </w:rPr>
        <w:t> </w:t>
      </w:r>
      <w:r>
        <w:rPr>
          <w:i/>
          <w:color w:val="231F20"/>
          <w:w w:val="105"/>
        </w:rPr>
        <w:t>Wealth</w:t>
      </w:r>
      <w:r>
        <w:rPr>
          <w:i/>
          <w:color w:val="231F20"/>
          <w:spacing w:val="20"/>
          <w:w w:val="105"/>
        </w:rPr>
        <w:t> </w:t>
      </w:r>
      <w:r>
        <w:rPr>
          <w:i/>
          <w:color w:val="231F20"/>
          <w:spacing w:val="-2"/>
          <w:w w:val="105"/>
        </w:rPr>
        <w:t>Management</w:t>
      </w:r>
    </w:p>
    <w:p>
      <w:pPr>
        <w:pStyle w:val="BodyText"/>
        <w:spacing w:before="100"/>
        <w:rPr>
          <w:b/>
          <w:i/>
        </w:rPr>
      </w:pPr>
    </w:p>
    <w:p>
      <w:pPr>
        <w:pStyle w:val="BodyText"/>
        <w:spacing w:line="292" w:lineRule="auto"/>
        <w:ind w:left="1276" w:right="132" w:firstLine="567"/>
        <w:jc w:val="both"/>
      </w:pPr>
      <w:r>
        <w:rPr>
          <w:color w:val="231F20"/>
        </w:rPr>
        <w:t>The Company and its subsidiaries shall reasonably utilize their internal idle funds while ensuring that working capital requirements for daily production and operation are met and risks</w:t>
      </w:r>
      <w:r>
        <w:rPr>
          <w:color w:val="231F20"/>
          <w:spacing w:val="80"/>
        </w:rPr>
        <w:t> </w:t>
      </w:r>
      <w:r>
        <w:rPr>
          <w:color w:val="231F20"/>
        </w:rPr>
        <w:t>are</w:t>
      </w:r>
      <w:r>
        <w:rPr>
          <w:color w:val="231F20"/>
          <w:spacing w:val="20"/>
        </w:rPr>
        <w:t> </w:t>
      </w:r>
      <w:r>
        <w:rPr>
          <w:color w:val="231F20"/>
        </w:rPr>
        <w:t>under</w:t>
      </w:r>
      <w:r>
        <w:rPr>
          <w:color w:val="231F20"/>
          <w:spacing w:val="20"/>
        </w:rPr>
        <w:t> </w:t>
      </w:r>
      <w:r>
        <w:rPr>
          <w:color w:val="231F20"/>
        </w:rPr>
        <w:t>effective</w:t>
      </w:r>
      <w:r>
        <w:rPr>
          <w:color w:val="231F20"/>
          <w:spacing w:val="20"/>
        </w:rPr>
        <w:t> </w:t>
      </w:r>
      <w:r>
        <w:rPr>
          <w:color w:val="231F20"/>
        </w:rPr>
        <w:t>control,</w:t>
      </w:r>
      <w:r>
        <w:rPr>
          <w:color w:val="231F20"/>
          <w:spacing w:val="20"/>
        </w:rPr>
        <w:t> </w:t>
      </w:r>
      <w:r>
        <w:rPr>
          <w:color w:val="231F20"/>
        </w:rPr>
        <w:t>so</w:t>
      </w:r>
      <w:r>
        <w:rPr>
          <w:color w:val="231F20"/>
          <w:spacing w:val="20"/>
        </w:rPr>
        <w:t> </w:t>
      </w:r>
      <w:r>
        <w:rPr>
          <w:color w:val="231F20"/>
        </w:rPr>
        <w:t>as</w:t>
      </w:r>
      <w:r>
        <w:rPr>
          <w:color w:val="231F20"/>
          <w:spacing w:val="20"/>
        </w:rPr>
        <w:t> </w:t>
      </w:r>
      <w:r>
        <w:rPr>
          <w:color w:val="231F20"/>
        </w:rPr>
        <w:t>to</w:t>
      </w:r>
      <w:r>
        <w:rPr>
          <w:color w:val="231F20"/>
          <w:spacing w:val="20"/>
        </w:rPr>
        <w:t> </w:t>
      </w:r>
      <w:r>
        <w:rPr>
          <w:color w:val="231F20"/>
        </w:rPr>
        <w:t>improve</w:t>
      </w:r>
      <w:r>
        <w:rPr>
          <w:color w:val="231F20"/>
          <w:spacing w:val="20"/>
        </w:rPr>
        <w:t> </w:t>
      </w:r>
      <w:r>
        <w:rPr>
          <w:color w:val="231F20"/>
        </w:rPr>
        <w:t>the</w:t>
      </w:r>
      <w:r>
        <w:rPr>
          <w:color w:val="231F20"/>
          <w:spacing w:val="20"/>
        </w:rPr>
        <w:t> </w:t>
      </w:r>
      <w:r>
        <w:rPr>
          <w:color w:val="231F20"/>
        </w:rPr>
        <w:t>efficiency</w:t>
      </w:r>
      <w:r>
        <w:rPr>
          <w:color w:val="231F20"/>
          <w:spacing w:val="20"/>
        </w:rPr>
        <w:t> </w:t>
      </w:r>
      <w:r>
        <w:rPr>
          <w:color w:val="231F20"/>
        </w:rPr>
        <w:t>of</w:t>
      </w:r>
      <w:r>
        <w:rPr>
          <w:color w:val="231F20"/>
          <w:spacing w:val="20"/>
        </w:rPr>
        <w:t> </w:t>
      </w:r>
      <w:r>
        <w:rPr>
          <w:color w:val="231F20"/>
        </w:rPr>
        <w:t>internal</w:t>
      </w:r>
      <w:r>
        <w:rPr>
          <w:color w:val="231F20"/>
          <w:spacing w:val="20"/>
        </w:rPr>
        <w:t> </w:t>
      </w:r>
      <w:r>
        <w:rPr>
          <w:color w:val="231F20"/>
        </w:rPr>
        <w:t>idle</w:t>
      </w:r>
      <w:r>
        <w:rPr>
          <w:color w:val="231F20"/>
          <w:spacing w:val="20"/>
        </w:rPr>
        <w:t> </w:t>
      </w:r>
      <w:r>
        <w:rPr>
          <w:color w:val="231F20"/>
        </w:rPr>
        <w:t>funds</w:t>
      </w:r>
      <w:r>
        <w:rPr>
          <w:color w:val="231F20"/>
          <w:spacing w:val="20"/>
        </w:rPr>
        <w:t> </w:t>
      </w:r>
      <w:r>
        <w:rPr>
          <w:color w:val="231F20"/>
        </w:rPr>
        <w:t>utilization</w:t>
      </w:r>
      <w:r>
        <w:rPr>
          <w:color w:val="231F20"/>
          <w:spacing w:val="20"/>
        </w:rPr>
        <w:t> </w:t>
      </w:r>
      <w:r>
        <w:rPr>
          <w:color w:val="231F20"/>
        </w:rPr>
        <w:t>and the return on cash assets.</w:t>
      </w:r>
    </w:p>
    <w:p>
      <w:pPr>
        <w:pStyle w:val="BodyText"/>
        <w:spacing w:before="47"/>
      </w:pPr>
    </w:p>
    <w:p>
      <w:pPr>
        <w:pStyle w:val="Heading5"/>
        <w:numPr>
          <w:ilvl w:val="1"/>
          <w:numId w:val="10"/>
        </w:numPr>
        <w:tabs>
          <w:tab w:pos="1843" w:val="left" w:leader="none"/>
        </w:tabs>
        <w:spacing w:line="240" w:lineRule="auto" w:before="0" w:after="0"/>
        <w:ind w:left="1843" w:right="0" w:hanging="567"/>
        <w:jc w:val="left"/>
        <w:rPr>
          <w:color w:val="231F20"/>
        </w:rPr>
      </w:pPr>
      <w:r>
        <w:rPr>
          <w:i/>
          <w:color w:val="231F20"/>
          <w:w w:val="105"/>
        </w:rPr>
        <w:t>Amount</w:t>
      </w:r>
      <w:r>
        <w:rPr>
          <w:i/>
          <w:color w:val="231F20"/>
          <w:spacing w:val="20"/>
          <w:w w:val="105"/>
        </w:rPr>
        <w:t> </w:t>
      </w:r>
      <w:r>
        <w:rPr>
          <w:i/>
          <w:color w:val="231F20"/>
          <w:w w:val="105"/>
        </w:rPr>
        <w:t>of</w:t>
      </w:r>
      <w:r>
        <w:rPr>
          <w:i/>
          <w:color w:val="231F20"/>
          <w:spacing w:val="21"/>
          <w:w w:val="105"/>
        </w:rPr>
        <w:t> </w:t>
      </w:r>
      <w:r>
        <w:rPr>
          <w:i/>
          <w:color w:val="231F20"/>
          <w:w w:val="105"/>
        </w:rPr>
        <w:t>Wealth</w:t>
      </w:r>
      <w:r>
        <w:rPr>
          <w:i/>
          <w:color w:val="231F20"/>
          <w:spacing w:val="21"/>
          <w:w w:val="105"/>
        </w:rPr>
        <w:t> </w:t>
      </w:r>
      <w:r>
        <w:rPr>
          <w:i/>
          <w:color w:val="231F20"/>
          <w:spacing w:val="-2"/>
          <w:w w:val="105"/>
        </w:rPr>
        <w:t>Management</w:t>
      </w:r>
    </w:p>
    <w:p>
      <w:pPr>
        <w:pStyle w:val="BodyText"/>
        <w:spacing w:before="100"/>
        <w:rPr>
          <w:b/>
          <w:i/>
        </w:rPr>
      </w:pPr>
    </w:p>
    <w:p>
      <w:pPr>
        <w:pStyle w:val="BodyText"/>
        <w:spacing w:line="292" w:lineRule="auto" w:before="1"/>
        <w:ind w:left="1276" w:right="129" w:firstLine="567"/>
        <w:jc w:val="both"/>
      </w:pPr>
      <w:r>
        <w:rPr>
          <w:color w:val="231F20"/>
        </w:rPr>
        <w:t>The</w:t>
      </w:r>
      <w:r>
        <w:rPr>
          <w:color w:val="231F20"/>
          <w:spacing w:val="40"/>
        </w:rPr>
        <w:t> </w:t>
      </w:r>
      <w:r>
        <w:rPr>
          <w:color w:val="231F20"/>
        </w:rPr>
        <w:t>Company</w:t>
      </w:r>
      <w:r>
        <w:rPr>
          <w:color w:val="231F20"/>
          <w:spacing w:val="40"/>
        </w:rPr>
        <w:t> </w:t>
      </w:r>
      <w:r>
        <w:rPr>
          <w:color w:val="231F20"/>
        </w:rPr>
        <w:t>and</w:t>
      </w:r>
      <w:r>
        <w:rPr>
          <w:color w:val="231F20"/>
          <w:spacing w:val="40"/>
        </w:rPr>
        <w:t> </w:t>
      </w:r>
      <w:r>
        <w:rPr>
          <w:color w:val="231F20"/>
        </w:rPr>
        <w:t>its</w:t>
      </w:r>
      <w:r>
        <w:rPr>
          <w:color w:val="231F20"/>
          <w:spacing w:val="40"/>
        </w:rPr>
        <w:t> </w:t>
      </w:r>
      <w:r>
        <w:rPr>
          <w:color w:val="231F20"/>
        </w:rPr>
        <w:t>subsidiaries</w:t>
      </w:r>
      <w:r>
        <w:rPr>
          <w:color w:val="231F20"/>
          <w:spacing w:val="40"/>
        </w:rPr>
        <w:t> </w:t>
      </w:r>
      <w:r>
        <w:rPr>
          <w:color w:val="231F20"/>
        </w:rPr>
        <w:t>propose</w:t>
      </w:r>
      <w:r>
        <w:rPr>
          <w:color w:val="231F20"/>
          <w:spacing w:val="40"/>
        </w:rPr>
        <w:t> </w:t>
      </w:r>
      <w:r>
        <w:rPr>
          <w:color w:val="231F20"/>
        </w:rPr>
        <w:t>to</w:t>
      </w:r>
      <w:r>
        <w:rPr>
          <w:color w:val="231F20"/>
          <w:spacing w:val="40"/>
        </w:rPr>
        <w:t> </w:t>
      </w:r>
      <w:r>
        <w:rPr>
          <w:color w:val="231F20"/>
        </w:rPr>
        <w:t>use</w:t>
      </w:r>
      <w:r>
        <w:rPr>
          <w:color w:val="231F20"/>
          <w:spacing w:val="40"/>
        </w:rPr>
        <w:t> </w:t>
      </w:r>
      <w:r>
        <w:rPr>
          <w:color w:val="231F20"/>
        </w:rPr>
        <w:t>no</w:t>
      </w:r>
      <w:r>
        <w:rPr>
          <w:color w:val="231F20"/>
          <w:spacing w:val="40"/>
        </w:rPr>
        <w:t> </w:t>
      </w:r>
      <w:r>
        <w:rPr>
          <w:color w:val="231F20"/>
        </w:rPr>
        <w:t>more</w:t>
      </w:r>
      <w:r>
        <w:rPr>
          <w:color w:val="231F20"/>
          <w:spacing w:val="40"/>
        </w:rPr>
        <w:t> </w:t>
      </w:r>
      <w:r>
        <w:rPr>
          <w:color w:val="231F20"/>
        </w:rPr>
        <w:t>than</w:t>
      </w:r>
      <w:r>
        <w:rPr>
          <w:color w:val="231F20"/>
          <w:spacing w:val="40"/>
        </w:rPr>
        <w:t> </w:t>
      </w:r>
      <w:r>
        <w:rPr>
          <w:color w:val="231F20"/>
        </w:rPr>
        <w:t>RMB1,500</w:t>
      </w:r>
      <w:r>
        <w:rPr>
          <w:color w:val="231F20"/>
          <w:spacing w:val="40"/>
        </w:rPr>
        <w:t> </w:t>
      </w:r>
      <w:r>
        <w:rPr>
          <w:color w:val="231F20"/>
        </w:rPr>
        <w:t>million</w:t>
      </w:r>
      <w:r>
        <w:rPr>
          <w:color w:val="231F20"/>
          <w:spacing w:val="80"/>
        </w:rPr>
        <w:t> </w:t>
      </w:r>
      <w:r>
        <w:rPr>
          <w:color w:val="231F20"/>
        </w:rPr>
        <w:t>(or equivalent foreign currency) of internal idle funds for wealth management products. The aforementioned limit is utilized on a revolving basis, and the wealth management balance on any single</w:t>
      </w:r>
      <w:r>
        <w:rPr>
          <w:color w:val="231F20"/>
          <w:spacing w:val="19"/>
        </w:rPr>
        <w:t> </w:t>
      </w:r>
      <w:r>
        <w:rPr>
          <w:color w:val="231F20"/>
        </w:rPr>
        <w:t>day</w:t>
      </w:r>
      <w:r>
        <w:rPr>
          <w:color w:val="231F20"/>
          <w:spacing w:val="19"/>
        </w:rPr>
        <w:t> </w:t>
      </w:r>
      <w:r>
        <w:rPr>
          <w:color w:val="231F20"/>
        </w:rPr>
        <w:t>within</w:t>
      </w:r>
      <w:r>
        <w:rPr>
          <w:color w:val="231F20"/>
          <w:spacing w:val="19"/>
        </w:rPr>
        <w:t> </w:t>
      </w:r>
      <w:r>
        <w:rPr>
          <w:color w:val="231F20"/>
        </w:rPr>
        <w:t>the</w:t>
      </w:r>
      <w:r>
        <w:rPr>
          <w:color w:val="231F20"/>
          <w:spacing w:val="19"/>
        </w:rPr>
        <w:t> </w:t>
      </w:r>
      <w:r>
        <w:rPr>
          <w:color w:val="231F20"/>
        </w:rPr>
        <w:t>term</w:t>
      </w:r>
      <w:r>
        <w:rPr>
          <w:color w:val="231F20"/>
          <w:spacing w:val="19"/>
        </w:rPr>
        <w:t> </w:t>
      </w:r>
      <w:r>
        <w:rPr>
          <w:color w:val="231F20"/>
        </w:rPr>
        <w:t>shall</w:t>
      </w:r>
      <w:r>
        <w:rPr>
          <w:color w:val="231F20"/>
          <w:spacing w:val="19"/>
        </w:rPr>
        <w:t> </w:t>
      </w:r>
      <w:r>
        <w:rPr>
          <w:color w:val="231F20"/>
        </w:rPr>
        <w:t>not</w:t>
      </w:r>
      <w:r>
        <w:rPr>
          <w:color w:val="231F20"/>
          <w:spacing w:val="19"/>
        </w:rPr>
        <w:t> </w:t>
      </w:r>
      <w:r>
        <w:rPr>
          <w:color w:val="231F20"/>
        </w:rPr>
        <w:t>exceed</w:t>
      </w:r>
      <w:r>
        <w:rPr>
          <w:color w:val="231F20"/>
          <w:spacing w:val="19"/>
        </w:rPr>
        <w:t> </w:t>
      </w:r>
      <w:r>
        <w:rPr>
          <w:color w:val="231F20"/>
        </w:rPr>
        <w:t>RMB1,500</w:t>
      </w:r>
      <w:r>
        <w:rPr>
          <w:color w:val="231F20"/>
          <w:spacing w:val="19"/>
        </w:rPr>
        <w:t> </w:t>
      </w:r>
      <w:r>
        <w:rPr>
          <w:color w:val="231F20"/>
        </w:rPr>
        <w:t>million</w:t>
      </w:r>
      <w:r>
        <w:rPr>
          <w:color w:val="231F20"/>
          <w:spacing w:val="19"/>
        </w:rPr>
        <w:t> </w:t>
      </w:r>
      <w:r>
        <w:rPr>
          <w:color w:val="231F20"/>
        </w:rPr>
        <w:t>(or</w:t>
      </w:r>
      <w:r>
        <w:rPr>
          <w:color w:val="231F20"/>
          <w:spacing w:val="19"/>
        </w:rPr>
        <w:t> </w:t>
      </w:r>
      <w:r>
        <w:rPr>
          <w:color w:val="231F20"/>
        </w:rPr>
        <w:t>equivalent</w:t>
      </w:r>
      <w:r>
        <w:rPr>
          <w:color w:val="231F20"/>
          <w:spacing w:val="19"/>
        </w:rPr>
        <w:t> </w:t>
      </w:r>
      <w:r>
        <w:rPr>
          <w:color w:val="231F20"/>
        </w:rPr>
        <w:t>foreign</w:t>
      </w:r>
      <w:r>
        <w:rPr>
          <w:color w:val="231F20"/>
          <w:spacing w:val="19"/>
        </w:rPr>
        <w:t> </w:t>
      </w:r>
      <w:r>
        <w:rPr>
          <w:color w:val="231F20"/>
        </w:rPr>
        <w:t>currency).</w:t>
      </w:r>
    </w:p>
    <w:p>
      <w:pPr>
        <w:pStyle w:val="BodyText"/>
        <w:spacing w:before="47"/>
      </w:pPr>
    </w:p>
    <w:p>
      <w:pPr>
        <w:pStyle w:val="Heading5"/>
        <w:numPr>
          <w:ilvl w:val="1"/>
          <w:numId w:val="10"/>
        </w:numPr>
        <w:tabs>
          <w:tab w:pos="1843" w:val="left" w:leader="none"/>
        </w:tabs>
        <w:spacing w:line="240" w:lineRule="auto" w:before="0" w:after="0"/>
        <w:ind w:left="1843" w:right="0" w:hanging="567"/>
        <w:jc w:val="left"/>
        <w:rPr>
          <w:color w:val="231F20"/>
        </w:rPr>
      </w:pPr>
      <w:r>
        <w:rPr>
          <w:i/>
          <w:color w:val="231F20"/>
          <w:w w:val="105"/>
        </w:rPr>
        <w:t>Method</w:t>
      </w:r>
      <w:r>
        <w:rPr>
          <w:i/>
          <w:color w:val="231F20"/>
          <w:spacing w:val="23"/>
          <w:w w:val="105"/>
        </w:rPr>
        <w:t> </w:t>
      </w:r>
      <w:r>
        <w:rPr>
          <w:i/>
          <w:color w:val="231F20"/>
          <w:w w:val="105"/>
        </w:rPr>
        <w:t>of</w:t>
      </w:r>
      <w:r>
        <w:rPr>
          <w:i/>
          <w:color w:val="231F20"/>
          <w:spacing w:val="23"/>
          <w:w w:val="105"/>
        </w:rPr>
        <w:t> </w:t>
      </w:r>
      <w:r>
        <w:rPr>
          <w:i/>
          <w:color w:val="231F20"/>
          <w:w w:val="105"/>
        </w:rPr>
        <w:t>Wealth</w:t>
      </w:r>
      <w:r>
        <w:rPr>
          <w:i/>
          <w:color w:val="231F20"/>
          <w:spacing w:val="23"/>
          <w:w w:val="105"/>
        </w:rPr>
        <w:t> </w:t>
      </w:r>
      <w:r>
        <w:rPr>
          <w:i/>
          <w:color w:val="231F20"/>
          <w:spacing w:val="-2"/>
          <w:w w:val="105"/>
        </w:rPr>
        <w:t>Management</w:t>
      </w:r>
    </w:p>
    <w:p>
      <w:pPr>
        <w:pStyle w:val="BodyText"/>
        <w:spacing w:before="100"/>
        <w:rPr>
          <w:b/>
          <w:i/>
        </w:rPr>
      </w:pPr>
    </w:p>
    <w:p>
      <w:pPr>
        <w:pStyle w:val="BodyText"/>
        <w:spacing w:line="292" w:lineRule="auto"/>
        <w:ind w:left="1276" w:right="140" w:firstLine="567"/>
        <w:jc w:val="both"/>
      </w:pPr>
      <w:r>
        <w:rPr>
          <w:color w:val="231F20"/>
        </w:rPr>
        <w:t>Highly secure and liquid wealth management products sold by financial institutions with legitimate operating qualifications.</w:t>
      </w:r>
    </w:p>
    <w:p>
      <w:pPr>
        <w:pStyle w:val="BodyText"/>
        <w:spacing w:before="49"/>
      </w:pPr>
    </w:p>
    <w:p>
      <w:pPr>
        <w:pStyle w:val="Heading5"/>
        <w:numPr>
          <w:ilvl w:val="1"/>
          <w:numId w:val="10"/>
        </w:numPr>
        <w:tabs>
          <w:tab w:pos="1843" w:val="left" w:leader="none"/>
        </w:tabs>
        <w:spacing w:line="240" w:lineRule="auto" w:before="0" w:after="0"/>
        <w:ind w:left="1843" w:right="0" w:hanging="567"/>
        <w:jc w:val="left"/>
        <w:rPr>
          <w:color w:val="231F20"/>
        </w:rPr>
      </w:pPr>
      <w:r>
        <w:rPr>
          <w:i/>
          <w:color w:val="231F20"/>
          <w:w w:val="105"/>
        </w:rPr>
        <w:t>Term</w:t>
      </w:r>
      <w:r>
        <w:rPr>
          <w:i/>
          <w:color w:val="231F20"/>
          <w:spacing w:val="22"/>
          <w:w w:val="105"/>
        </w:rPr>
        <w:t> </w:t>
      </w:r>
      <w:r>
        <w:rPr>
          <w:i/>
          <w:color w:val="231F20"/>
          <w:w w:val="105"/>
        </w:rPr>
        <w:t>of</w:t>
      </w:r>
      <w:r>
        <w:rPr>
          <w:i/>
          <w:color w:val="231F20"/>
          <w:spacing w:val="23"/>
          <w:w w:val="105"/>
        </w:rPr>
        <w:t> </w:t>
      </w:r>
      <w:r>
        <w:rPr>
          <w:i/>
          <w:color w:val="231F20"/>
          <w:w w:val="105"/>
        </w:rPr>
        <w:t>Wealth</w:t>
      </w:r>
      <w:r>
        <w:rPr>
          <w:i/>
          <w:color w:val="231F20"/>
          <w:spacing w:val="23"/>
          <w:w w:val="105"/>
        </w:rPr>
        <w:t> </w:t>
      </w:r>
      <w:r>
        <w:rPr>
          <w:i/>
          <w:color w:val="231F20"/>
          <w:spacing w:val="-2"/>
          <w:w w:val="105"/>
        </w:rPr>
        <w:t>Management</w:t>
      </w:r>
    </w:p>
    <w:p>
      <w:pPr>
        <w:pStyle w:val="BodyText"/>
        <w:spacing w:before="100"/>
        <w:rPr>
          <w:b/>
          <w:i/>
        </w:rPr>
      </w:pPr>
    </w:p>
    <w:p>
      <w:pPr>
        <w:pStyle w:val="BodyText"/>
        <w:spacing w:line="292" w:lineRule="auto"/>
        <w:ind w:left="1276" w:right="134" w:firstLine="567"/>
        <w:jc w:val="both"/>
      </w:pPr>
      <w:r>
        <w:rPr>
          <w:color w:val="231F20"/>
        </w:rPr>
        <w:t>Valid</w:t>
      </w:r>
      <w:r>
        <w:rPr>
          <w:color w:val="231F20"/>
          <w:spacing w:val="27"/>
        </w:rPr>
        <w:t> </w:t>
      </w:r>
      <w:r>
        <w:rPr>
          <w:color w:val="231F20"/>
        </w:rPr>
        <w:t>from</w:t>
      </w:r>
      <w:r>
        <w:rPr>
          <w:color w:val="231F20"/>
          <w:spacing w:val="27"/>
        </w:rPr>
        <w:t> </w:t>
      </w:r>
      <w:r>
        <w:rPr>
          <w:color w:val="231F20"/>
        </w:rPr>
        <w:t>the</w:t>
      </w:r>
      <w:r>
        <w:rPr>
          <w:color w:val="231F20"/>
          <w:spacing w:val="27"/>
        </w:rPr>
        <w:t> </w:t>
      </w:r>
      <w:r>
        <w:rPr>
          <w:color w:val="231F20"/>
        </w:rPr>
        <w:t>date</w:t>
      </w:r>
      <w:r>
        <w:rPr>
          <w:color w:val="231F20"/>
          <w:spacing w:val="27"/>
        </w:rPr>
        <w:t> </w:t>
      </w:r>
      <w:r>
        <w:rPr>
          <w:color w:val="231F20"/>
        </w:rPr>
        <w:t>of</w:t>
      </w:r>
      <w:r>
        <w:rPr>
          <w:color w:val="231F20"/>
          <w:spacing w:val="27"/>
        </w:rPr>
        <w:t> </w:t>
      </w:r>
      <w:r>
        <w:rPr>
          <w:color w:val="231F20"/>
        </w:rPr>
        <w:t>the</w:t>
      </w:r>
      <w:r>
        <w:rPr>
          <w:color w:val="231F20"/>
          <w:spacing w:val="27"/>
        </w:rPr>
        <w:t> </w:t>
      </w:r>
      <w:r>
        <w:rPr>
          <w:color w:val="231F20"/>
        </w:rPr>
        <w:t>passing</w:t>
      </w:r>
      <w:r>
        <w:rPr>
          <w:color w:val="231F20"/>
          <w:spacing w:val="27"/>
        </w:rPr>
        <w:t> </w:t>
      </w:r>
      <w:r>
        <w:rPr>
          <w:color w:val="231F20"/>
        </w:rPr>
        <w:t>of</w:t>
      </w:r>
      <w:r>
        <w:rPr>
          <w:color w:val="231F20"/>
          <w:spacing w:val="27"/>
        </w:rPr>
        <w:t> </w:t>
      </w:r>
      <w:r>
        <w:rPr>
          <w:color w:val="231F20"/>
        </w:rPr>
        <w:t>this</w:t>
      </w:r>
      <w:r>
        <w:rPr>
          <w:color w:val="231F20"/>
          <w:spacing w:val="27"/>
        </w:rPr>
        <w:t> </w:t>
      </w:r>
      <w:r>
        <w:rPr>
          <w:color w:val="231F20"/>
        </w:rPr>
        <w:t>resolution</w:t>
      </w:r>
      <w:r>
        <w:rPr>
          <w:color w:val="231F20"/>
          <w:spacing w:val="27"/>
        </w:rPr>
        <w:t> </w:t>
      </w:r>
      <w:r>
        <w:rPr>
          <w:color w:val="231F20"/>
        </w:rPr>
        <w:t>at</w:t>
      </w:r>
      <w:r>
        <w:rPr>
          <w:color w:val="231F20"/>
          <w:spacing w:val="27"/>
        </w:rPr>
        <w:t> </w:t>
      </w:r>
      <w:r>
        <w:rPr>
          <w:color w:val="231F20"/>
        </w:rPr>
        <w:t>the</w:t>
      </w:r>
      <w:r>
        <w:rPr>
          <w:color w:val="231F20"/>
          <w:spacing w:val="27"/>
        </w:rPr>
        <w:t> </w:t>
      </w:r>
      <w:r>
        <w:rPr>
          <w:color w:val="231F20"/>
        </w:rPr>
        <w:t>2025</w:t>
      </w:r>
      <w:r>
        <w:rPr>
          <w:color w:val="231F20"/>
          <w:spacing w:val="27"/>
        </w:rPr>
        <w:t> </w:t>
      </w:r>
      <w:r>
        <w:rPr>
          <w:color w:val="231F20"/>
        </w:rPr>
        <w:t>Second</w:t>
      </w:r>
      <w:r>
        <w:rPr>
          <w:color w:val="231F20"/>
          <w:spacing w:val="27"/>
        </w:rPr>
        <w:t> </w:t>
      </w:r>
      <w:r>
        <w:rPr>
          <w:color w:val="231F20"/>
        </w:rPr>
        <w:t>EGM</w:t>
      </w:r>
      <w:r>
        <w:rPr>
          <w:color w:val="231F20"/>
          <w:spacing w:val="27"/>
        </w:rPr>
        <w:t> </w:t>
      </w:r>
      <w:r>
        <w:rPr>
          <w:color w:val="231F20"/>
        </w:rPr>
        <w:t>until</w:t>
      </w:r>
      <w:r>
        <w:rPr>
          <w:color w:val="231F20"/>
          <w:spacing w:val="27"/>
        </w:rPr>
        <w:t> </w:t>
      </w:r>
      <w:r>
        <w:rPr>
          <w:color w:val="231F20"/>
        </w:rPr>
        <w:t>the date</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2025</w:t>
      </w:r>
      <w:r>
        <w:rPr>
          <w:color w:val="231F20"/>
          <w:spacing w:val="40"/>
        </w:rPr>
        <w:t> </w:t>
      </w:r>
      <w:r>
        <w:rPr>
          <w:color w:val="231F20"/>
        </w:rPr>
        <w:t>annual</w:t>
      </w:r>
      <w:r>
        <w:rPr>
          <w:color w:val="231F20"/>
          <w:spacing w:val="40"/>
        </w:rPr>
        <w:t> </w:t>
      </w:r>
      <w:r>
        <w:rPr>
          <w:color w:val="231F20"/>
        </w:rPr>
        <w:t>general</w:t>
      </w:r>
      <w:r>
        <w:rPr>
          <w:color w:val="231F20"/>
          <w:spacing w:val="40"/>
        </w:rPr>
        <w:t> </w:t>
      </w:r>
      <w:r>
        <w:rPr>
          <w:color w:val="231F20"/>
        </w:rPr>
        <w:t>meeting</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Company.</w:t>
      </w:r>
    </w:p>
    <w:p>
      <w:pPr>
        <w:pStyle w:val="BodyText"/>
        <w:spacing w:before="49"/>
      </w:pPr>
    </w:p>
    <w:p>
      <w:pPr>
        <w:pStyle w:val="Heading5"/>
        <w:numPr>
          <w:ilvl w:val="1"/>
          <w:numId w:val="10"/>
        </w:numPr>
        <w:tabs>
          <w:tab w:pos="1843" w:val="left" w:leader="none"/>
        </w:tabs>
        <w:spacing w:line="240" w:lineRule="auto" w:before="0" w:after="0"/>
        <w:ind w:left="1843" w:right="0" w:hanging="567"/>
        <w:jc w:val="left"/>
        <w:rPr>
          <w:color w:val="231F20"/>
        </w:rPr>
      </w:pPr>
      <w:r>
        <w:rPr>
          <w:i/>
          <w:color w:val="231F20"/>
        </w:rPr>
        <w:t>Sources</w:t>
      </w:r>
      <w:r>
        <w:rPr>
          <w:i/>
          <w:color w:val="231F20"/>
          <w:spacing w:val="30"/>
        </w:rPr>
        <w:t> </w:t>
      </w:r>
      <w:r>
        <w:rPr>
          <w:i/>
          <w:color w:val="231F20"/>
        </w:rPr>
        <w:t>of</w:t>
      </w:r>
      <w:r>
        <w:rPr>
          <w:i/>
          <w:color w:val="231F20"/>
          <w:spacing w:val="31"/>
        </w:rPr>
        <w:t> </w:t>
      </w:r>
      <w:r>
        <w:rPr>
          <w:i/>
          <w:color w:val="231F20"/>
          <w:spacing w:val="-2"/>
        </w:rPr>
        <w:t>Funds</w:t>
      </w:r>
    </w:p>
    <w:p>
      <w:pPr>
        <w:pStyle w:val="BodyText"/>
        <w:spacing w:before="100"/>
        <w:rPr>
          <w:b/>
          <w:i/>
        </w:rPr>
      </w:pPr>
    </w:p>
    <w:p>
      <w:pPr>
        <w:pStyle w:val="BodyText"/>
        <w:spacing w:line="292" w:lineRule="auto"/>
        <w:ind w:left="1276" w:right="135" w:firstLine="567"/>
        <w:jc w:val="both"/>
      </w:pPr>
      <w:r>
        <w:rPr>
          <w:color w:val="231F20"/>
        </w:rPr>
        <w:t>The</w:t>
      </w:r>
      <w:r>
        <w:rPr>
          <w:color w:val="231F20"/>
          <w:spacing w:val="35"/>
        </w:rPr>
        <w:t> </w:t>
      </w:r>
      <w:r>
        <w:rPr>
          <w:color w:val="231F20"/>
        </w:rPr>
        <w:t>funds</w:t>
      </w:r>
      <w:r>
        <w:rPr>
          <w:color w:val="231F20"/>
          <w:spacing w:val="35"/>
        </w:rPr>
        <w:t> </w:t>
      </w:r>
      <w:r>
        <w:rPr>
          <w:color w:val="231F20"/>
        </w:rPr>
        <w:t>are</w:t>
      </w:r>
      <w:r>
        <w:rPr>
          <w:color w:val="231F20"/>
          <w:spacing w:val="35"/>
        </w:rPr>
        <w:t> </w:t>
      </w:r>
      <w:r>
        <w:rPr>
          <w:color w:val="231F20"/>
        </w:rPr>
        <w:t>derived</w:t>
      </w:r>
      <w:r>
        <w:rPr>
          <w:color w:val="231F20"/>
          <w:spacing w:val="35"/>
        </w:rPr>
        <w:t> </w:t>
      </w:r>
      <w:r>
        <w:rPr>
          <w:color w:val="231F20"/>
        </w:rPr>
        <w:t>from</w:t>
      </w:r>
      <w:r>
        <w:rPr>
          <w:color w:val="231F20"/>
          <w:spacing w:val="35"/>
        </w:rPr>
        <w:t> </w:t>
      </w:r>
      <w:r>
        <w:rPr>
          <w:color w:val="231F20"/>
        </w:rPr>
        <w:t>the</w:t>
      </w:r>
      <w:r>
        <w:rPr>
          <w:color w:val="231F20"/>
          <w:spacing w:val="35"/>
        </w:rPr>
        <w:t> </w:t>
      </w:r>
      <w:r>
        <w:rPr>
          <w:color w:val="231F20"/>
        </w:rPr>
        <w:t>Company’s</w:t>
      </w:r>
      <w:r>
        <w:rPr>
          <w:color w:val="231F20"/>
          <w:spacing w:val="35"/>
        </w:rPr>
        <w:t> </w:t>
      </w:r>
      <w:r>
        <w:rPr>
          <w:color w:val="231F20"/>
        </w:rPr>
        <w:t>internal</w:t>
      </w:r>
      <w:r>
        <w:rPr>
          <w:color w:val="231F20"/>
          <w:spacing w:val="35"/>
        </w:rPr>
        <w:t> </w:t>
      </w:r>
      <w:r>
        <w:rPr>
          <w:color w:val="231F20"/>
        </w:rPr>
        <w:t>idle</w:t>
      </w:r>
      <w:r>
        <w:rPr>
          <w:color w:val="231F20"/>
          <w:spacing w:val="35"/>
        </w:rPr>
        <w:t> </w:t>
      </w:r>
      <w:r>
        <w:rPr>
          <w:color w:val="231F20"/>
        </w:rPr>
        <w:t>funds,</w:t>
      </w:r>
      <w:r>
        <w:rPr>
          <w:color w:val="231F20"/>
          <w:spacing w:val="35"/>
        </w:rPr>
        <w:t> </w:t>
      </w:r>
      <w:r>
        <w:rPr>
          <w:color w:val="231F20"/>
        </w:rPr>
        <w:t>and</w:t>
      </w:r>
      <w:r>
        <w:rPr>
          <w:color w:val="231F20"/>
          <w:spacing w:val="35"/>
        </w:rPr>
        <w:t> </w:t>
      </w:r>
      <w:r>
        <w:rPr>
          <w:color w:val="231F20"/>
        </w:rPr>
        <w:t>do</w:t>
      </w:r>
      <w:r>
        <w:rPr>
          <w:color w:val="231F20"/>
          <w:spacing w:val="35"/>
        </w:rPr>
        <w:t> </w:t>
      </w:r>
      <w:r>
        <w:rPr>
          <w:color w:val="231F20"/>
        </w:rPr>
        <w:t>not</w:t>
      </w:r>
      <w:r>
        <w:rPr>
          <w:color w:val="231F20"/>
          <w:spacing w:val="35"/>
        </w:rPr>
        <w:t> </w:t>
      </w:r>
      <w:r>
        <w:rPr>
          <w:color w:val="231F20"/>
        </w:rPr>
        <w:t>involve</w:t>
      </w:r>
      <w:r>
        <w:rPr>
          <w:color w:val="231F20"/>
          <w:spacing w:val="35"/>
        </w:rPr>
        <w:t> </w:t>
      </w:r>
      <w:r>
        <w:rPr>
          <w:color w:val="231F20"/>
        </w:rPr>
        <w:t>the use</w:t>
      </w:r>
      <w:r>
        <w:rPr>
          <w:color w:val="231F20"/>
          <w:spacing w:val="40"/>
        </w:rPr>
        <w:t> </w:t>
      </w:r>
      <w:r>
        <w:rPr>
          <w:color w:val="231F20"/>
        </w:rPr>
        <w:t>of</w:t>
      </w:r>
      <w:r>
        <w:rPr>
          <w:color w:val="231F20"/>
          <w:spacing w:val="40"/>
        </w:rPr>
        <w:t> </w:t>
      </w:r>
      <w:r>
        <w:rPr>
          <w:color w:val="231F20"/>
        </w:rPr>
        <w:t>proceeds</w:t>
      </w:r>
      <w:r>
        <w:rPr>
          <w:color w:val="231F20"/>
          <w:spacing w:val="40"/>
        </w:rPr>
        <w:t> </w:t>
      </w:r>
      <w:r>
        <w:rPr>
          <w:color w:val="231F20"/>
        </w:rPr>
        <w:t>from</w:t>
      </w:r>
      <w:r>
        <w:rPr>
          <w:color w:val="231F20"/>
          <w:spacing w:val="40"/>
        </w:rPr>
        <w:t> </w:t>
      </w:r>
      <w:r>
        <w:rPr>
          <w:color w:val="231F20"/>
        </w:rPr>
        <w:t>capital</w:t>
      </w:r>
      <w:r>
        <w:rPr>
          <w:color w:val="231F20"/>
          <w:spacing w:val="40"/>
        </w:rPr>
        <w:t> </w:t>
      </w:r>
      <w:r>
        <w:rPr>
          <w:color w:val="231F20"/>
        </w:rPr>
        <w:t>raisings</w:t>
      </w:r>
      <w:r>
        <w:rPr>
          <w:color w:val="231F20"/>
          <w:spacing w:val="40"/>
        </w:rPr>
        <w:t> </w:t>
      </w:r>
      <w:r>
        <w:rPr>
          <w:color w:val="231F20"/>
        </w:rPr>
        <w:t>or</w:t>
      </w:r>
      <w:r>
        <w:rPr>
          <w:color w:val="231F20"/>
          <w:spacing w:val="40"/>
        </w:rPr>
        <w:t> </w:t>
      </w:r>
      <w:r>
        <w:rPr>
          <w:color w:val="231F20"/>
        </w:rPr>
        <w:t>bank</w:t>
      </w:r>
      <w:r>
        <w:rPr>
          <w:color w:val="231F20"/>
          <w:spacing w:val="40"/>
        </w:rPr>
        <w:t> </w:t>
      </w:r>
      <w:r>
        <w:rPr>
          <w:color w:val="231F20"/>
        </w:rPr>
        <w:t>credit</w:t>
      </w:r>
      <w:r>
        <w:rPr>
          <w:color w:val="231F20"/>
          <w:spacing w:val="40"/>
        </w:rPr>
        <w:t> </w:t>
      </w:r>
      <w:r>
        <w:rPr>
          <w:color w:val="231F20"/>
        </w:rPr>
        <w:t>facilities.</w:t>
      </w:r>
    </w:p>
    <w:p>
      <w:pPr>
        <w:pStyle w:val="BodyText"/>
        <w:spacing w:after="0" w:line="292" w:lineRule="auto"/>
        <w:jc w:val="both"/>
        <w:sectPr>
          <w:pgSz w:w="11910" w:h="15880"/>
          <w:pgMar w:header="567" w:footer="573" w:top="1300" w:bottom="760" w:left="1275" w:right="1275"/>
        </w:sectPr>
      </w:pPr>
    </w:p>
    <w:p>
      <w:pPr>
        <w:pStyle w:val="BodyText"/>
        <w:spacing w:before="144"/>
      </w:pPr>
    </w:p>
    <w:p>
      <w:pPr>
        <w:pStyle w:val="ListParagraph"/>
        <w:numPr>
          <w:ilvl w:val="0"/>
          <w:numId w:val="10"/>
        </w:numPr>
        <w:tabs>
          <w:tab w:pos="1276" w:val="left" w:leader="none"/>
        </w:tabs>
        <w:spacing w:line="240" w:lineRule="auto" w:before="1" w:after="0"/>
        <w:ind w:left="1276" w:right="0" w:hanging="567"/>
        <w:jc w:val="left"/>
        <w:rPr>
          <w:b/>
          <w:sz w:val="20"/>
        </w:rPr>
      </w:pPr>
      <w:r>
        <w:rPr>
          <w:b/>
          <w:color w:val="231F20"/>
          <w:sz w:val="20"/>
        </w:rPr>
        <w:t>Approval</w:t>
      </w:r>
      <w:r>
        <w:rPr>
          <w:b/>
          <w:color w:val="231F20"/>
          <w:spacing w:val="43"/>
          <w:sz w:val="20"/>
        </w:rPr>
        <w:t> </w:t>
      </w:r>
      <w:r>
        <w:rPr>
          <w:b/>
          <w:color w:val="231F20"/>
          <w:spacing w:val="-2"/>
          <w:sz w:val="20"/>
        </w:rPr>
        <w:t>Procedures</w:t>
      </w:r>
    </w:p>
    <w:p>
      <w:pPr>
        <w:pStyle w:val="BodyText"/>
        <w:spacing w:before="49"/>
        <w:rPr>
          <w:b/>
        </w:rPr>
      </w:pPr>
    </w:p>
    <w:p>
      <w:pPr>
        <w:pStyle w:val="BodyText"/>
        <w:spacing w:line="280" w:lineRule="atLeast" w:before="1"/>
        <w:ind w:left="709" w:right="134" w:firstLine="567"/>
        <w:jc w:val="both"/>
      </w:pPr>
      <w:r>
        <w:rPr>
          <w:color w:val="231F20"/>
        </w:rPr>
        <w:t>The proposal has been considered and approved at the 30th meeting of the fifth session of </w:t>
      </w:r>
      <w:r>
        <w:rPr>
          <w:color w:val="231F20"/>
        </w:rPr>
        <w:t>the Board. In accordance with the relevant provisions of the Rules Governing the Listing of Stocks on the Shenzhen Stock Exchange, the Self-Regulatory Guidelines for the Companies Listed on the Shenzhen Stock</w:t>
      </w:r>
      <w:r>
        <w:rPr>
          <w:color w:val="231F20"/>
          <w:spacing w:val="37"/>
        </w:rPr>
        <w:t> </w:t>
      </w:r>
      <w:r>
        <w:rPr>
          <w:color w:val="231F20"/>
        </w:rPr>
        <w:t>Exchange</w:t>
      </w:r>
      <w:r>
        <w:rPr>
          <w:color w:val="231F20"/>
          <w:spacing w:val="37"/>
        </w:rPr>
        <w:t> </w:t>
      </w:r>
      <w:r>
        <w:rPr>
          <w:color w:val="231F20"/>
        </w:rPr>
        <w:t>No.</w:t>
      </w:r>
      <w:r>
        <w:rPr>
          <w:color w:val="231F20"/>
          <w:spacing w:val="37"/>
        </w:rPr>
        <w:t> </w:t>
      </w:r>
      <w:r>
        <w:rPr>
          <w:color w:val="231F20"/>
        </w:rPr>
        <w:t>1</w:t>
      </w:r>
      <w:r>
        <w:rPr>
          <w:color w:val="231F20"/>
          <w:spacing w:val="37"/>
        </w:rPr>
        <w:t> </w:t>
      </w:r>
      <w:r>
        <w:rPr>
          <w:color w:val="231F20"/>
          <w:position w:val="3"/>
        </w:rPr>
        <w:t>–</w:t>
      </w:r>
      <w:r>
        <w:rPr>
          <w:color w:val="231F20"/>
          <w:spacing w:val="37"/>
          <w:position w:val="3"/>
        </w:rPr>
        <w:t> </w:t>
      </w:r>
      <w:r>
        <w:rPr>
          <w:color w:val="231F20"/>
        </w:rPr>
        <w:t>Standardized</w:t>
      </w:r>
      <w:r>
        <w:rPr>
          <w:color w:val="231F20"/>
          <w:spacing w:val="37"/>
        </w:rPr>
        <w:t> </w:t>
      </w:r>
      <w:r>
        <w:rPr>
          <w:color w:val="231F20"/>
        </w:rPr>
        <w:t>Operations</w:t>
      </w:r>
      <w:r>
        <w:rPr>
          <w:color w:val="231F20"/>
          <w:spacing w:val="37"/>
        </w:rPr>
        <w:t> </w:t>
      </w:r>
      <w:r>
        <w:rPr>
          <w:color w:val="231F20"/>
        </w:rPr>
        <w:t>of</w:t>
      </w:r>
      <w:r>
        <w:rPr>
          <w:color w:val="231F20"/>
          <w:spacing w:val="37"/>
        </w:rPr>
        <w:t> </w:t>
      </w:r>
      <w:r>
        <w:rPr>
          <w:color w:val="231F20"/>
        </w:rPr>
        <w:t>the</w:t>
      </w:r>
      <w:r>
        <w:rPr>
          <w:color w:val="231F20"/>
          <w:spacing w:val="37"/>
        </w:rPr>
        <w:t> </w:t>
      </w:r>
      <w:r>
        <w:rPr>
          <w:color w:val="231F20"/>
        </w:rPr>
        <w:t>Companies</w:t>
      </w:r>
      <w:r>
        <w:rPr>
          <w:color w:val="231F20"/>
          <w:spacing w:val="37"/>
        </w:rPr>
        <w:t> </w:t>
      </w:r>
      <w:r>
        <w:rPr>
          <w:color w:val="231F20"/>
        </w:rPr>
        <w:t>Listed</w:t>
      </w:r>
      <w:r>
        <w:rPr>
          <w:color w:val="231F20"/>
          <w:spacing w:val="37"/>
        </w:rPr>
        <w:t> </w:t>
      </w:r>
      <w:r>
        <w:rPr>
          <w:color w:val="231F20"/>
        </w:rPr>
        <w:t>on</w:t>
      </w:r>
      <w:r>
        <w:rPr>
          <w:color w:val="231F20"/>
          <w:spacing w:val="37"/>
        </w:rPr>
        <w:t> </w:t>
      </w:r>
      <w:r>
        <w:rPr>
          <w:color w:val="231F20"/>
        </w:rPr>
        <w:t>the</w:t>
      </w:r>
      <w:r>
        <w:rPr>
          <w:color w:val="231F20"/>
          <w:spacing w:val="37"/>
        </w:rPr>
        <w:t> </w:t>
      </w:r>
      <w:r>
        <w:rPr>
          <w:color w:val="231F20"/>
        </w:rPr>
        <w:t>Main</w:t>
      </w:r>
      <w:r>
        <w:rPr>
          <w:color w:val="231F20"/>
          <w:spacing w:val="37"/>
        </w:rPr>
        <w:t> </w:t>
      </w:r>
      <w:r>
        <w:rPr>
          <w:color w:val="231F20"/>
        </w:rPr>
        <w:t>Board,</w:t>
      </w:r>
      <w:r>
        <w:rPr>
          <w:color w:val="231F20"/>
          <w:spacing w:val="37"/>
        </w:rPr>
        <w:t> </w:t>
      </w:r>
      <w:r>
        <w:rPr>
          <w:color w:val="231F20"/>
        </w:rPr>
        <w:t>and the Articles of Association, this adjustment to the wealth management limit does not constitute a connected transaction. The adjusted wealth management limit is no more than RMB1,500 million (or equivalent foreign currency), and the term is from the date of approval by the Company’s general</w:t>
      </w:r>
      <w:r>
        <w:rPr>
          <w:color w:val="231F20"/>
          <w:spacing w:val="80"/>
        </w:rPr>
        <w:t> </w:t>
      </w:r>
      <w:r>
        <w:rPr>
          <w:color w:val="231F20"/>
        </w:rPr>
        <w:t>meeting</w:t>
      </w:r>
      <w:r>
        <w:rPr>
          <w:color w:val="231F20"/>
          <w:spacing w:val="40"/>
        </w:rPr>
        <w:t> </w:t>
      </w:r>
      <w:r>
        <w:rPr>
          <w:color w:val="231F20"/>
        </w:rPr>
        <w:t>until</w:t>
      </w:r>
      <w:r>
        <w:rPr>
          <w:color w:val="231F20"/>
          <w:spacing w:val="39"/>
        </w:rPr>
        <w:t> </w:t>
      </w:r>
      <w:r>
        <w:rPr>
          <w:color w:val="231F20"/>
        </w:rPr>
        <w:t>the</w:t>
      </w:r>
      <w:r>
        <w:rPr>
          <w:color w:val="231F20"/>
          <w:spacing w:val="40"/>
        </w:rPr>
        <w:t> </w:t>
      </w:r>
      <w:r>
        <w:rPr>
          <w:color w:val="231F20"/>
        </w:rPr>
        <w:t>date</w:t>
      </w:r>
      <w:r>
        <w:rPr>
          <w:color w:val="231F20"/>
          <w:spacing w:val="39"/>
        </w:rPr>
        <w:t> </w:t>
      </w:r>
      <w:r>
        <w:rPr>
          <w:color w:val="231F20"/>
        </w:rPr>
        <w:t>of</w:t>
      </w:r>
      <w:r>
        <w:rPr>
          <w:color w:val="231F20"/>
          <w:spacing w:val="40"/>
        </w:rPr>
        <w:t> </w:t>
      </w:r>
      <w:r>
        <w:rPr>
          <w:color w:val="231F20"/>
        </w:rPr>
        <w:t>the</w:t>
      </w:r>
      <w:r>
        <w:rPr>
          <w:color w:val="231F20"/>
          <w:spacing w:val="39"/>
        </w:rPr>
        <w:t> </w:t>
      </w:r>
      <w:r>
        <w:rPr>
          <w:color w:val="231F20"/>
        </w:rPr>
        <w:t>2025</w:t>
      </w:r>
      <w:r>
        <w:rPr>
          <w:color w:val="231F20"/>
          <w:spacing w:val="40"/>
        </w:rPr>
        <w:t> </w:t>
      </w:r>
      <w:r>
        <w:rPr>
          <w:color w:val="231F20"/>
        </w:rPr>
        <w:t>annual</w:t>
      </w:r>
      <w:r>
        <w:rPr>
          <w:color w:val="231F20"/>
          <w:spacing w:val="39"/>
        </w:rPr>
        <w:t> </w:t>
      </w:r>
      <w:r>
        <w:rPr>
          <w:color w:val="231F20"/>
        </w:rPr>
        <w:t>general</w:t>
      </w:r>
      <w:r>
        <w:rPr>
          <w:color w:val="231F20"/>
          <w:spacing w:val="40"/>
        </w:rPr>
        <w:t> </w:t>
      </w:r>
      <w:r>
        <w:rPr>
          <w:color w:val="231F20"/>
        </w:rPr>
        <w:t>meeting</w:t>
      </w:r>
      <w:r>
        <w:rPr>
          <w:color w:val="231F20"/>
          <w:spacing w:val="39"/>
        </w:rPr>
        <w:t> </w:t>
      </w:r>
      <w:r>
        <w:rPr>
          <w:color w:val="231F20"/>
        </w:rPr>
        <w:t>of</w:t>
      </w:r>
      <w:r>
        <w:rPr>
          <w:color w:val="231F20"/>
          <w:spacing w:val="40"/>
        </w:rPr>
        <w:t> </w:t>
      </w:r>
      <w:r>
        <w:rPr>
          <w:color w:val="231F20"/>
        </w:rPr>
        <w:t>the</w:t>
      </w:r>
      <w:r>
        <w:rPr>
          <w:color w:val="231F20"/>
          <w:spacing w:val="39"/>
        </w:rPr>
        <w:t> </w:t>
      </w:r>
      <w:r>
        <w:rPr>
          <w:color w:val="231F20"/>
        </w:rPr>
        <w:t>Company.</w:t>
      </w:r>
      <w:r>
        <w:rPr>
          <w:color w:val="231F20"/>
          <w:spacing w:val="40"/>
        </w:rPr>
        <w:t> </w:t>
      </w:r>
      <w:r>
        <w:rPr>
          <w:color w:val="231F20"/>
        </w:rPr>
        <w:t>This</w:t>
      </w:r>
      <w:r>
        <w:rPr>
          <w:color w:val="231F20"/>
          <w:spacing w:val="39"/>
        </w:rPr>
        <w:t> </w:t>
      </w:r>
      <w:r>
        <w:rPr>
          <w:color w:val="231F20"/>
        </w:rPr>
        <w:t>adjustment</w:t>
      </w:r>
      <w:r>
        <w:rPr>
          <w:color w:val="231F20"/>
          <w:spacing w:val="40"/>
        </w:rPr>
        <w:t> </w:t>
      </w:r>
      <w:r>
        <w:rPr>
          <w:color w:val="231F20"/>
        </w:rPr>
        <w:t>to</w:t>
      </w:r>
      <w:r>
        <w:rPr>
          <w:color w:val="231F20"/>
          <w:spacing w:val="39"/>
        </w:rPr>
        <w:t> </w:t>
      </w:r>
      <w:r>
        <w:rPr>
          <w:color w:val="231F20"/>
        </w:rPr>
        <w:t>the wealth management limit remains pending submission to the 2025 Second EGM of the Company for consideration and determination.</w:t>
      </w:r>
    </w:p>
    <w:p>
      <w:pPr>
        <w:pStyle w:val="BodyText"/>
        <w:spacing w:before="100"/>
      </w:pPr>
    </w:p>
    <w:p>
      <w:pPr>
        <w:pStyle w:val="BodyText"/>
        <w:spacing w:line="292" w:lineRule="auto"/>
        <w:ind w:left="709" w:right="134" w:firstLine="567"/>
        <w:jc w:val="both"/>
      </w:pPr>
      <w:r>
        <w:rPr>
          <w:color w:val="231F20"/>
        </w:rPr>
        <w:t>As the purchase of wealth management products with internal idle fund may be deemed as </w:t>
      </w:r>
      <w:r>
        <w:rPr>
          <w:color w:val="231F20"/>
        </w:rPr>
        <w:t>a transaction under the Chapter 14 and Chapter 14A of the Listing Rules, where applicable, the Company will comply with relevant rules and requirements under the Chapter 14 and Chapter 14A of the Listing Rules</w:t>
      </w:r>
      <w:r>
        <w:rPr>
          <w:color w:val="231F20"/>
          <w:spacing w:val="40"/>
        </w:rPr>
        <w:t> </w:t>
      </w:r>
      <w:r>
        <w:rPr>
          <w:color w:val="231F20"/>
        </w:rPr>
        <w:t>when</w:t>
      </w:r>
      <w:r>
        <w:rPr>
          <w:color w:val="231F20"/>
          <w:spacing w:val="40"/>
        </w:rPr>
        <w:t> </w:t>
      </w:r>
      <w:r>
        <w:rPr>
          <w:color w:val="231F20"/>
        </w:rPr>
        <w:t>purchasing</w:t>
      </w:r>
      <w:r>
        <w:rPr>
          <w:color w:val="231F20"/>
          <w:spacing w:val="40"/>
        </w:rPr>
        <w:t> </w:t>
      </w:r>
      <w:r>
        <w:rPr>
          <w:color w:val="231F20"/>
        </w:rPr>
        <w:t>wealth</w:t>
      </w:r>
      <w:r>
        <w:rPr>
          <w:color w:val="231F20"/>
          <w:spacing w:val="40"/>
        </w:rPr>
        <w:t> </w:t>
      </w:r>
      <w:r>
        <w:rPr>
          <w:color w:val="231F20"/>
        </w:rPr>
        <w:t>management</w:t>
      </w:r>
      <w:r>
        <w:rPr>
          <w:color w:val="231F20"/>
          <w:spacing w:val="40"/>
        </w:rPr>
        <w:t> </w:t>
      </w:r>
      <w:r>
        <w:rPr>
          <w:color w:val="231F20"/>
        </w:rPr>
        <w:t>products</w:t>
      </w:r>
      <w:r>
        <w:rPr>
          <w:color w:val="231F20"/>
          <w:spacing w:val="40"/>
        </w:rPr>
        <w:t> </w:t>
      </w:r>
      <w:r>
        <w:rPr>
          <w:color w:val="231F20"/>
        </w:rPr>
        <w:t>in</w:t>
      </w:r>
      <w:r>
        <w:rPr>
          <w:color w:val="231F20"/>
          <w:spacing w:val="40"/>
        </w:rPr>
        <w:t> </w:t>
      </w:r>
      <w:r>
        <w:rPr>
          <w:color w:val="231F20"/>
        </w:rPr>
        <w:t>accordance</w:t>
      </w:r>
      <w:r>
        <w:rPr>
          <w:color w:val="231F20"/>
          <w:spacing w:val="40"/>
        </w:rPr>
        <w:t> </w:t>
      </w:r>
      <w:r>
        <w:rPr>
          <w:color w:val="231F20"/>
        </w:rPr>
        <w:t>with</w:t>
      </w:r>
      <w:r>
        <w:rPr>
          <w:color w:val="231F20"/>
          <w:spacing w:val="40"/>
        </w:rPr>
        <w:t> </w:t>
      </w:r>
      <w:r>
        <w:rPr>
          <w:color w:val="231F20"/>
        </w:rPr>
        <w:t>such</w:t>
      </w:r>
      <w:r>
        <w:rPr>
          <w:color w:val="231F20"/>
          <w:spacing w:val="40"/>
        </w:rPr>
        <w:t> </w:t>
      </w:r>
      <w:r>
        <w:rPr>
          <w:color w:val="231F20"/>
        </w:rPr>
        <w:t>resolution.</w:t>
      </w:r>
    </w:p>
    <w:p>
      <w:pPr>
        <w:pStyle w:val="BodyText"/>
        <w:spacing w:before="47"/>
      </w:pPr>
    </w:p>
    <w:p>
      <w:pPr>
        <w:pStyle w:val="ListParagraph"/>
        <w:numPr>
          <w:ilvl w:val="0"/>
          <w:numId w:val="10"/>
        </w:numPr>
        <w:tabs>
          <w:tab w:pos="1276" w:val="left" w:leader="none"/>
        </w:tabs>
        <w:spacing w:line="240" w:lineRule="auto" w:before="0" w:after="0"/>
        <w:ind w:left="1276" w:right="0" w:hanging="567"/>
        <w:jc w:val="left"/>
        <w:rPr>
          <w:b/>
          <w:sz w:val="20"/>
        </w:rPr>
      </w:pPr>
      <w:r>
        <w:rPr>
          <w:b/>
          <w:color w:val="231F20"/>
          <w:sz w:val="20"/>
        </w:rPr>
        <w:t>Analysis</w:t>
      </w:r>
      <w:r>
        <w:rPr>
          <w:b/>
          <w:color w:val="231F20"/>
          <w:spacing w:val="31"/>
          <w:sz w:val="20"/>
        </w:rPr>
        <w:t> </w:t>
      </w:r>
      <w:r>
        <w:rPr>
          <w:b/>
          <w:color w:val="231F20"/>
          <w:sz w:val="20"/>
        </w:rPr>
        <w:t>of</w:t>
      </w:r>
      <w:r>
        <w:rPr>
          <w:b/>
          <w:color w:val="231F20"/>
          <w:spacing w:val="31"/>
          <w:sz w:val="20"/>
        </w:rPr>
        <w:t> </w:t>
      </w:r>
      <w:r>
        <w:rPr>
          <w:b/>
          <w:color w:val="231F20"/>
          <w:sz w:val="20"/>
        </w:rPr>
        <w:t>Investment</w:t>
      </w:r>
      <w:r>
        <w:rPr>
          <w:b/>
          <w:color w:val="231F20"/>
          <w:spacing w:val="31"/>
          <w:sz w:val="20"/>
        </w:rPr>
        <w:t> </w:t>
      </w:r>
      <w:r>
        <w:rPr>
          <w:b/>
          <w:color w:val="231F20"/>
          <w:sz w:val="20"/>
        </w:rPr>
        <w:t>Risks</w:t>
      </w:r>
      <w:r>
        <w:rPr>
          <w:b/>
          <w:color w:val="231F20"/>
          <w:spacing w:val="31"/>
          <w:sz w:val="20"/>
        </w:rPr>
        <w:t> </w:t>
      </w:r>
      <w:r>
        <w:rPr>
          <w:b/>
          <w:color w:val="231F20"/>
          <w:sz w:val="20"/>
        </w:rPr>
        <w:t>and</w:t>
      </w:r>
      <w:r>
        <w:rPr>
          <w:b/>
          <w:color w:val="231F20"/>
          <w:spacing w:val="31"/>
          <w:sz w:val="20"/>
        </w:rPr>
        <w:t> </w:t>
      </w:r>
      <w:r>
        <w:rPr>
          <w:b/>
          <w:color w:val="231F20"/>
          <w:sz w:val="20"/>
        </w:rPr>
        <w:t>Risk</w:t>
      </w:r>
      <w:r>
        <w:rPr>
          <w:b/>
          <w:color w:val="231F20"/>
          <w:spacing w:val="32"/>
          <w:sz w:val="20"/>
        </w:rPr>
        <w:t> </w:t>
      </w:r>
      <w:r>
        <w:rPr>
          <w:b/>
          <w:color w:val="231F20"/>
          <w:sz w:val="20"/>
        </w:rPr>
        <w:t>Control</w:t>
      </w:r>
      <w:r>
        <w:rPr>
          <w:b/>
          <w:color w:val="231F20"/>
          <w:spacing w:val="31"/>
          <w:sz w:val="20"/>
        </w:rPr>
        <w:t> </w:t>
      </w:r>
      <w:r>
        <w:rPr>
          <w:b/>
          <w:color w:val="231F20"/>
          <w:spacing w:val="-2"/>
          <w:sz w:val="20"/>
        </w:rPr>
        <w:t>Measures</w:t>
      </w:r>
    </w:p>
    <w:p>
      <w:pPr>
        <w:pStyle w:val="BodyText"/>
        <w:spacing w:before="100"/>
        <w:rPr>
          <w:b/>
        </w:rPr>
      </w:pPr>
    </w:p>
    <w:p>
      <w:pPr>
        <w:pStyle w:val="Heading5"/>
        <w:numPr>
          <w:ilvl w:val="1"/>
          <w:numId w:val="10"/>
        </w:numPr>
        <w:tabs>
          <w:tab w:pos="1843" w:val="left" w:leader="none"/>
        </w:tabs>
        <w:spacing w:line="240" w:lineRule="auto" w:before="0" w:after="0"/>
        <w:ind w:left="1843" w:right="0" w:hanging="567"/>
        <w:jc w:val="left"/>
        <w:rPr>
          <w:color w:val="231F20"/>
        </w:rPr>
      </w:pPr>
      <w:r>
        <w:rPr>
          <w:i/>
          <w:color w:val="231F20"/>
        </w:rPr>
        <w:t>Existing</w:t>
      </w:r>
      <w:r>
        <w:rPr>
          <w:i/>
          <w:color w:val="231F20"/>
          <w:spacing w:val="51"/>
        </w:rPr>
        <w:t> </w:t>
      </w:r>
      <w:r>
        <w:rPr>
          <w:i/>
          <w:color w:val="231F20"/>
          <w:spacing w:val="-2"/>
        </w:rPr>
        <w:t>Risks</w:t>
      </w:r>
    </w:p>
    <w:p>
      <w:pPr>
        <w:pStyle w:val="BodyText"/>
        <w:spacing w:before="100"/>
        <w:rPr>
          <w:b/>
          <w:i/>
        </w:rPr>
      </w:pPr>
    </w:p>
    <w:p>
      <w:pPr>
        <w:pStyle w:val="BodyText"/>
        <w:spacing w:line="292" w:lineRule="auto" w:before="1"/>
        <w:ind w:left="1276" w:right="134" w:firstLine="567"/>
        <w:jc w:val="both"/>
      </w:pPr>
      <w:r>
        <w:rPr>
          <w:color w:val="231F20"/>
        </w:rPr>
        <w:t>The adjustment to the limit for wealth management products is made with the aim </w:t>
      </w:r>
      <w:r>
        <w:rPr>
          <w:color w:val="231F20"/>
        </w:rPr>
        <w:t>of improving the efficiency of utilizing idle internal funds and the return on cash assets. The Board considers</w:t>
      </w:r>
      <w:r>
        <w:rPr>
          <w:color w:val="231F20"/>
          <w:spacing w:val="31"/>
        </w:rPr>
        <w:t> </w:t>
      </w:r>
      <w:r>
        <w:rPr>
          <w:color w:val="231F20"/>
        </w:rPr>
        <w:t>that</w:t>
      </w:r>
      <w:r>
        <w:rPr>
          <w:color w:val="231F20"/>
          <w:spacing w:val="31"/>
        </w:rPr>
        <w:t> </w:t>
      </w:r>
      <w:r>
        <w:rPr>
          <w:color w:val="231F20"/>
        </w:rPr>
        <w:t>the</w:t>
      </w:r>
      <w:r>
        <w:rPr>
          <w:color w:val="231F20"/>
          <w:spacing w:val="31"/>
        </w:rPr>
        <w:t> </w:t>
      </w:r>
      <w:r>
        <w:rPr>
          <w:color w:val="231F20"/>
        </w:rPr>
        <w:t>Company’s</w:t>
      </w:r>
      <w:r>
        <w:rPr>
          <w:color w:val="231F20"/>
          <w:spacing w:val="31"/>
        </w:rPr>
        <w:t> </w:t>
      </w:r>
      <w:r>
        <w:rPr>
          <w:color w:val="231F20"/>
        </w:rPr>
        <w:t>working</w:t>
      </w:r>
      <w:r>
        <w:rPr>
          <w:color w:val="231F20"/>
          <w:spacing w:val="31"/>
        </w:rPr>
        <w:t> </w:t>
      </w:r>
      <w:r>
        <w:rPr>
          <w:color w:val="231F20"/>
        </w:rPr>
        <w:t>capital</w:t>
      </w:r>
      <w:r>
        <w:rPr>
          <w:color w:val="231F20"/>
          <w:spacing w:val="31"/>
        </w:rPr>
        <w:t> </w:t>
      </w:r>
      <w:r>
        <w:rPr>
          <w:color w:val="231F20"/>
        </w:rPr>
        <w:t>requirements</w:t>
      </w:r>
      <w:r>
        <w:rPr>
          <w:color w:val="231F20"/>
          <w:spacing w:val="31"/>
        </w:rPr>
        <w:t> </w:t>
      </w:r>
      <w:r>
        <w:rPr>
          <w:color w:val="231F20"/>
        </w:rPr>
        <w:t>for</w:t>
      </w:r>
      <w:r>
        <w:rPr>
          <w:color w:val="231F20"/>
          <w:spacing w:val="31"/>
        </w:rPr>
        <w:t> </w:t>
      </w:r>
      <w:r>
        <w:rPr>
          <w:color w:val="231F20"/>
        </w:rPr>
        <w:t>daily</w:t>
      </w:r>
      <w:r>
        <w:rPr>
          <w:color w:val="231F20"/>
          <w:spacing w:val="31"/>
        </w:rPr>
        <w:t> </w:t>
      </w:r>
      <w:r>
        <w:rPr>
          <w:color w:val="231F20"/>
        </w:rPr>
        <w:t>production</w:t>
      </w:r>
      <w:r>
        <w:rPr>
          <w:color w:val="231F20"/>
          <w:spacing w:val="31"/>
        </w:rPr>
        <w:t> </w:t>
      </w:r>
      <w:r>
        <w:rPr>
          <w:color w:val="231F20"/>
        </w:rPr>
        <w:t>and</w:t>
      </w:r>
      <w:r>
        <w:rPr>
          <w:color w:val="231F20"/>
          <w:spacing w:val="31"/>
        </w:rPr>
        <w:t> </w:t>
      </w:r>
      <w:r>
        <w:rPr>
          <w:color w:val="231F20"/>
        </w:rPr>
        <w:t>operation are met and risks are under</w:t>
      </w:r>
      <w:r>
        <w:rPr>
          <w:color w:val="231F20"/>
        </w:rPr>
        <w:t> effective control. However,</w:t>
      </w:r>
      <w:r>
        <w:rPr>
          <w:color w:val="231F20"/>
        </w:rPr>
        <w:t> due to changes in macroeconomic conditions</w:t>
      </w:r>
      <w:r>
        <w:rPr>
          <w:color w:val="231F20"/>
          <w:spacing w:val="40"/>
        </w:rPr>
        <w:t> </w:t>
      </w:r>
      <w:r>
        <w:rPr>
          <w:color w:val="231F20"/>
        </w:rPr>
        <w:t>and</w:t>
      </w:r>
      <w:r>
        <w:rPr>
          <w:color w:val="231F20"/>
          <w:spacing w:val="40"/>
        </w:rPr>
        <w:t> </w:t>
      </w:r>
      <w:r>
        <w:rPr>
          <w:color w:val="231F20"/>
        </w:rPr>
        <w:t>market</w:t>
      </w:r>
      <w:r>
        <w:rPr>
          <w:color w:val="231F20"/>
          <w:spacing w:val="40"/>
        </w:rPr>
        <w:t> </w:t>
      </w:r>
      <w:r>
        <w:rPr>
          <w:color w:val="231F20"/>
        </w:rPr>
        <w:t>fluctuations,</w:t>
      </w:r>
      <w:r>
        <w:rPr>
          <w:color w:val="231F20"/>
          <w:spacing w:val="40"/>
        </w:rPr>
        <w:t> </w:t>
      </w:r>
      <w:r>
        <w:rPr>
          <w:color w:val="231F20"/>
        </w:rPr>
        <w:t>actual</w:t>
      </w:r>
      <w:r>
        <w:rPr>
          <w:color w:val="231F20"/>
          <w:spacing w:val="40"/>
        </w:rPr>
        <w:t> </w:t>
      </w:r>
      <w:r>
        <w:rPr>
          <w:color w:val="231F20"/>
        </w:rPr>
        <w:t>return</w:t>
      </w:r>
      <w:r>
        <w:rPr>
          <w:color w:val="231F20"/>
          <w:spacing w:val="40"/>
        </w:rPr>
        <w:t> </w:t>
      </w:r>
      <w:r>
        <w:rPr>
          <w:color w:val="231F20"/>
        </w:rPr>
        <w:t>on</w:t>
      </w:r>
      <w:r>
        <w:rPr>
          <w:color w:val="231F20"/>
          <w:spacing w:val="40"/>
        </w:rPr>
        <w:t> </w:t>
      </w:r>
      <w:r>
        <w:rPr>
          <w:color w:val="231F20"/>
        </w:rPr>
        <w:t>wealth</w:t>
      </w:r>
      <w:r>
        <w:rPr>
          <w:color w:val="231F20"/>
          <w:spacing w:val="40"/>
        </w:rPr>
        <w:t> </w:t>
      </w:r>
      <w:r>
        <w:rPr>
          <w:color w:val="231F20"/>
        </w:rPr>
        <w:t>management</w:t>
      </w:r>
      <w:r>
        <w:rPr>
          <w:color w:val="231F20"/>
          <w:spacing w:val="40"/>
        </w:rPr>
        <w:t> </w:t>
      </w:r>
      <w:r>
        <w:rPr>
          <w:color w:val="231F20"/>
        </w:rPr>
        <w:t>products</w:t>
      </w:r>
      <w:r>
        <w:rPr>
          <w:color w:val="231F20"/>
          <w:spacing w:val="40"/>
        </w:rPr>
        <w:t> </w:t>
      </w:r>
      <w:r>
        <w:rPr>
          <w:color w:val="231F20"/>
        </w:rPr>
        <w:t>carries inherent uncertainty.</w:t>
      </w:r>
    </w:p>
    <w:p>
      <w:pPr>
        <w:pStyle w:val="BodyText"/>
        <w:spacing w:before="46"/>
      </w:pPr>
    </w:p>
    <w:p>
      <w:pPr>
        <w:pStyle w:val="Heading5"/>
        <w:numPr>
          <w:ilvl w:val="1"/>
          <w:numId w:val="10"/>
        </w:numPr>
        <w:tabs>
          <w:tab w:pos="1843" w:val="left" w:leader="none"/>
        </w:tabs>
        <w:spacing w:line="240" w:lineRule="auto" w:before="0" w:after="0"/>
        <w:ind w:left="1843" w:right="0" w:hanging="567"/>
        <w:jc w:val="left"/>
        <w:rPr>
          <w:color w:val="231F20"/>
        </w:rPr>
      </w:pPr>
      <w:r>
        <w:rPr>
          <w:i/>
          <w:color w:val="231F20"/>
          <w:w w:val="105"/>
        </w:rPr>
        <w:t>Risk</w:t>
      </w:r>
      <w:r>
        <w:rPr>
          <w:i/>
          <w:color w:val="231F20"/>
          <w:spacing w:val="31"/>
          <w:w w:val="105"/>
        </w:rPr>
        <w:t> </w:t>
      </w:r>
      <w:r>
        <w:rPr>
          <w:i/>
          <w:color w:val="231F20"/>
          <w:w w:val="105"/>
        </w:rPr>
        <w:t>Control</w:t>
      </w:r>
      <w:r>
        <w:rPr>
          <w:i/>
          <w:color w:val="231F20"/>
          <w:spacing w:val="32"/>
          <w:w w:val="105"/>
        </w:rPr>
        <w:t> </w:t>
      </w:r>
      <w:r>
        <w:rPr>
          <w:i/>
          <w:color w:val="231F20"/>
          <w:spacing w:val="-2"/>
          <w:w w:val="105"/>
        </w:rPr>
        <w:t>Measures</w:t>
      </w:r>
    </w:p>
    <w:p>
      <w:pPr>
        <w:pStyle w:val="BodyText"/>
        <w:spacing w:before="100"/>
        <w:rPr>
          <w:b/>
          <w:i/>
        </w:rPr>
      </w:pPr>
    </w:p>
    <w:p>
      <w:pPr>
        <w:pStyle w:val="ListParagraph"/>
        <w:numPr>
          <w:ilvl w:val="2"/>
          <w:numId w:val="10"/>
        </w:numPr>
        <w:tabs>
          <w:tab w:pos="2409" w:val="left" w:leader="none"/>
        </w:tabs>
        <w:spacing w:line="292" w:lineRule="auto" w:before="0" w:after="0"/>
        <w:ind w:left="2409" w:right="133" w:hanging="567"/>
        <w:jc w:val="both"/>
        <w:rPr>
          <w:sz w:val="20"/>
        </w:rPr>
      </w:pPr>
      <w:r>
        <w:rPr>
          <w:color w:val="231F20"/>
          <w:sz w:val="20"/>
        </w:rPr>
        <w:t>The Company has formulated practical and effective internal control and management systems, including the </w:t>
      </w:r>
      <w:r>
        <w:rPr>
          <w:i/>
          <w:color w:val="231F20"/>
          <w:sz w:val="20"/>
        </w:rPr>
        <w:t>Management System for Wealth </w:t>
      </w:r>
      <w:r>
        <w:rPr>
          <w:i/>
          <w:color w:val="231F20"/>
          <w:sz w:val="20"/>
        </w:rPr>
        <w:t>Management</w:t>
      </w:r>
      <w:r>
        <w:rPr>
          <w:i/>
          <w:color w:val="231F20"/>
          <w:sz w:val="20"/>
        </w:rPr>
        <w:t> </w:t>
      </w:r>
      <w:r>
        <w:rPr>
          <w:color w:val="231F20"/>
          <w:sz w:val="20"/>
        </w:rPr>
        <w:t>policy</w:t>
      </w:r>
      <w:r>
        <w:rPr>
          <w:color w:val="231F20"/>
          <w:spacing w:val="40"/>
          <w:sz w:val="20"/>
        </w:rPr>
        <w:t> </w:t>
      </w:r>
      <w:r>
        <w:rPr>
          <w:color w:val="231F20"/>
          <w:sz w:val="20"/>
        </w:rPr>
        <w:t>which</w:t>
      </w:r>
      <w:r>
        <w:rPr>
          <w:color w:val="231F20"/>
          <w:spacing w:val="40"/>
          <w:sz w:val="20"/>
        </w:rPr>
        <w:t> </w:t>
      </w:r>
      <w:r>
        <w:rPr>
          <w:color w:val="231F20"/>
          <w:sz w:val="20"/>
        </w:rPr>
        <w:t>sets</w:t>
      </w:r>
      <w:r>
        <w:rPr>
          <w:color w:val="231F20"/>
          <w:spacing w:val="40"/>
          <w:sz w:val="20"/>
        </w:rPr>
        <w:t> </w:t>
      </w:r>
      <w:r>
        <w:rPr>
          <w:color w:val="231F20"/>
          <w:sz w:val="20"/>
        </w:rPr>
        <w:t>forth</w:t>
      </w:r>
      <w:r>
        <w:rPr>
          <w:color w:val="231F20"/>
          <w:spacing w:val="40"/>
          <w:sz w:val="20"/>
        </w:rPr>
        <w:t> </w:t>
      </w:r>
      <w:r>
        <w:rPr>
          <w:color w:val="231F20"/>
          <w:sz w:val="20"/>
        </w:rPr>
        <w:t>provisions</w:t>
      </w:r>
      <w:r>
        <w:rPr>
          <w:color w:val="231F20"/>
          <w:spacing w:val="40"/>
          <w:sz w:val="20"/>
        </w:rPr>
        <w:t> </w:t>
      </w:r>
      <w:r>
        <w:rPr>
          <w:color w:val="231F20"/>
          <w:sz w:val="20"/>
        </w:rPr>
        <w:t>on</w:t>
      </w:r>
      <w:r>
        <w:rPr>
          <w:color w:val="231F20"/>
          <w:spacing w:val="40"/>
          <w:sz w:val="20"/>
        </w:rPr>
        <w:t> </w:t>
      </w:r>
      <w:r>
        <w:rPr>
          <w:color w:val="231F20"/>
          <w:sz w:val="20"/>
        </w:rPr>
        <w:t>the</w:t>
      </w:r>
      <w:r>
        <w:rPr>
          <w:color w:val="231F20"/>
          <w:spacing w:val="40"/>
          <w:sz w:val="20"/>
        </w:rPr>
        <w:t> </w:t>
      </w:r>
      <w:r>
        <w:rPr>
          <w:color w:val="231F20"/>
          <w:sz w:val="20"/>
        </w:rPr>
        <w:t>principles</w:t>
      </w:r>
      <w:r>
        <w:rPr>
          <w:color w:val="231F20"/>
          <w:spacing w:val="40"/>
          <w:sz w:val="20"/>
        </w:rPr>
        <w:t> </w:t>
      </w:r>
      <w:r>
        <w:rPr>
          <w:color w:val="231F20"/>
          <w:sz w:val="20"/>
        </w:rPr>
        <w:t>of</w:t>
      </w:r>
      <w:r>
        <w:rPr>
          <w:color w:val="231F20"/>
          <w:spacing w:val="40"/>
          <w:sz w:val="20"/>
        </w:rPr>
        <w:t> </w:t>
      </w:r>
      <w:r>
        <w:rPr>
          <w:color w:val="231F20"/>
          <w:sz w:val="20"/>
        </w:rPr>
        <w:t>wealth</w:t>
      </w:r>
      <w:r>
        <w:rPr>
          <w:color w:val="231F20"/>
          <w:spacing w:val="40"/>
          <w:sz w:val="20"/>
        </w:rPr>
        <w:t> </w:t>
      </w:r>
      <w:r>
        <w:rPr>
          <w:color w:val="231F20"/>
          <w:sz w:val="20"/>
        </w:rPr>
        <w:t>management, approval and decision-making procedures, implementation processes, and risk control. These measures effectively control investment risks in wealth management activities,</w:t>
      </w:r>
      <w:r>
        <w:rPr>
          <w:color w:val="231F20"/>
          <w:spacing w:val="40"/>
          <w:sz w:val="20"/>
        </w:rPr>
        <w:t> </w:t>
      </w:r>
      <w:r>
        <w:rPr>
          <w:color w:val="231F20"/>
          <w:sz w:val="20"/>
        </w:rPr>
        <w:t>thereby</w:t>
      </w:r>
      <w:r>
        <w:rPr>
          <w:color w:val="231F20"/>
          <w:spacing w:val="40"/>
          <w:sz w:val="20"/>
        </w:rPr>
        <w:t> </w:t>
      </w:r>
      <w:r>
        <w:rPr>
          <w:color w:val="231F20"/>
          <w:sz w:val="20"/>
        </w:rPr>
        <w:t>safeguarding</w:t>
      </w:r>
      <w:r>
        <w:rPr>
          <w:color w:val="231F20"/>
          <w:spacing w:val="40"/>
          <w:sz w:val="20"/>
        </w:rPr>
        <w:t> </w:t>
      </w:r>
      <w:r>
        <w:rPr>
          <w:color w:val="231F20"/>
          <w:sz w:val="20"/>
        </w:rPr>
        <w:t>the</w:t>
      </w:r>
      <w:r>
        <w:rPr>
          <w:color w:val="231F20"/>
          <w:spacing w:val="40"/>
          <w:sz w:val="20"/>
        </w:rPr>
        <w:t> </w:t>
      </w:r>
      <w:r>
        <w:rPr>
          <w:color w:val="231F20"/>
          <w:sz w:val="20"/>
        </w:rPr>
        <w:t>funds</w:t>
      </w:r>
      <w:r>
        <w:rPr>
          <w:color w:val="231F20"/>
          <w:spacing w:val="40"/>
          <w:sz w:val="20"/>
        </w:rPr>
        <w:t> </w:t>
      </w:r>
      <w:r>
        <w:rPr>
          <w:color w:val="231F20"/>
          <w:sz w:val="20"/>
        </w:rPr>
        <w:t>of</w:t>
      </w:r>
      <w:r>
        <w:rPr>
          <w:color w:val="231F20"/>
          <w:spacing w:val="40"/>
          <w:sz w:val="20"/>
        </w:rPr>
        <w:t> </w:t>
      </w:r>
      <w:r>
        <w:rPr>
          <w:color w:val="231F20"/>
          <w:sz w:val="20"/>
        </w:rPr>
        <w:t>the</w:t>
      </w:r>
      <w:r>
        <w:rPr>
          <w:color w:val="231F20"/>
          <w:spacing w:val="40"/>
          <w:sz w:val="20"/>
        </w:rPr>
        <w:t> </w:t>
      </w:r>
      <w:r>
        <w:rPr>
          <w:color w:val="231F20"/>
          <w:sz w:val="20"/>
        </w:rPr>
        <w:t>Company;</w:t>
      </w:r>
    </w:p>
    <w:p>
      <w:pPr>
        <w:pStyle w:val="BodyText"/>
        <w:spacing w:before="46"/>
      </w:pPr>
    </w:p>
    <w:p>
      <w:pPr>
        <w:pStyle w:val="ListParagraph"/>
        <w:numPr>
          <w:ilvl w:val="2"/>
          <w:numId w:val="10"/>
        </w:numPr>
        <w:tabs>
          <w:tab w:pos="2409" w:val="left" w:leader="none"/>
        </w:tabs>
        <w:spacing w:line="292" w:lineRule="auto" w:before="1" w:after="0"/>
        <w:ind w:left="2409" w:right="128" w:hanging="567"/>
        <w:jc w:val="both"/>
        <w:rPr>
          <w:sz w:val="20"/>
        </w:rPr>
      </w:pPr>
      <w:r>
        <w:rPr>
          <w:color w:val="231F20"/>
          <w:sz w:val="20"/>
        </w:rPr>
        <w:t>As</w:t>
      </w:r>
      <w:r>
        <w:rPr>
          <w:color w:val="231F20"/>
          <w:spacing w:val="77"/>
          <w:sz w:val="20"/>
        </w:rPr>
        <w:t> </w:t>
      </w:r>
      <w:r>
        <w:rPr>
          <w:color w:val="231F20"/>
          <w:sz w:val="20"/>
        </w:rPr>
        <w:t>the</w:t>
      </w:r>
      <w:r>
        <w:rPr>
          <w:color w:val="231F20"/>
          <w:spacing w:val="77"/>
          <w:sz w:val="20"/>
        </w:rPr>
        <w:t> </w:t>
      </w:r>
      <w:r>
        <w:rPr>
          <w:color w:val="231F20"/>
          <w:sz w:val="20"/>
        </w:rPr>
        <w:t>day-to-day</w:t>
      </w:r>
      <w:r>
        <w:rPr>
          <w:color w:val="231F20"/>
          <w:spacing w:val="77"/>
          <w:sz w:val="20"/>
        </w:rPr>
        <w:t> </w:t>
      </w:r>
      <w:r>
        <w:rPr>
          <w:color w:val="231F20"/>
          <w:sz w:val="20"/>
        </w:rPr>
        <w:t>management</w:t>
      </w:r>
      <w:r>
        <w:rPr>
          <w:color w:val="231F20"/>
          <w:spacing w:val="77"/>
          <w:sz w:val="20"/>
        </w:rPr>
        <w:t> </w:t>
      </w:r>
      <w:r>
        <w:rPr>
          <w:color w:val="231F20"/>
          <w:sz w:val="20"/>
        </w:rPr>
        <w:t>department</w:t>
      </w:r>
      <w:r>
        <w:rPr>
          <w:color w:val="231F20"/>
          <w:spacing w:val="77"/>
          <w:sz w:val="20"/>
        </w:rPr>
        <w:t> </w:t>
      </w:r>
      <w:r>
        <w:rPr>
          <w:color w:val="231F20"/>
          <w:sz w:val="20"/>
        </w:rPr>
        <w:t>for</w:t>
      </w:r>
      <w:r>
        <w:rPr>
          <w:color w:val="231F20"/>
          <w:spacing w:val="77"/>
          <w:sz w:val="20"/>
        </w:rPr>
        <w:t> </w:t>
      </w:r>
      <w:r>
        <w:rPr>
          <w:color w:val="231F20"/>
          <w:sz w:val="20"/>
        </w:rPr>
        <w:t>wealth</w:t>
      </w:r>
      <w:r>
        <w:rPr>
          <w:color w:val="231F20"/>
          <w:spacing w:val="77"/>
          <w:sz w:val="20"/>
        </w:rPr>
        <w:t> </w:t>
      </w:r>
      <w:r>
        <w:rPr>
          <w:color w:val="231F20"/>
          <w:sz w:val="20"/>
        </w:rPr>
        <w:t>management</w:t>
      </w:r>
      <w:r>
        <w:rPr>
          <w:color w:val="231F20"/>
          <w:spacing w:val="77"/>
          <w:sz w:val="20"/>
        </w:rPr>
        <w:t> </w:t>
      </w:r>
      <w:r>
        <w:rPr>
          <w:color w:val="231F20"/>
          <w:sz w:val="20"/>
        </w:rPr>
        <w:t>activities of the Company and its subsidiaries, the finance department of the Company </w:t>
      </w:r>
      <w:r>
        <w:rPr>
          <w:color w:val="231F20"/>
          <w:sz w:val="20"/>
        </w:rPr>
        <w:t>is responsible for pre-investment screening and verification, in-investment control,</w:t>
      </w:r>
      <w:r>
        <w:rPr>
          <w:color w:val="231F20"/>
          <w:spacing w:val="80"/>
          <w:w w:val="150"/>
          <w:sz w:val="20"/>
        </w:rPr>
        <w:t> </w:t>
      </w:r>
      <w:r>
        <w:rPr>
          <w:color w:val="231F20"/>
          <w:sz w:val="20"/>
        </w:rPr>
        <w:t>and post-investment accounting treatment of various wealth management products.</w:t>
      </w:r>
      <w:r>
        <w:rPr>
          <w:color w:val="231F20"/>
          <w:spacing w:val="80"/>
          <w:sz w:val="20"/>
        </w:rPr>
        <w:t> </w:t>
      </w:r>
      <w:r>
        <w:rPr>
          <w:color w:val="231F20"/>
          <w:sz w:val="20"/>
        </w:rPr>
        <w:t>It screens investment targets and select reputable and large-scale financial</w:t>
      </w:r>
      <w:r>
        <w:rPr>
          <w:color w:val="231F20"/>
          <w:spacing w:val="40"/>
          <w:sz w:val="20"/>
        </w:rPr>
        <w:t> </w:t>
      </w:r>
      <w:r>
        <w:rPr>
          <w:color w:val="231F20"/>
          <w:sz w:val="20"/>
        </w:rPr>
        <w:t>institutions</w:t>
      </w:r>
      <w:r>
        <w:rPr>
          <w:color w:val="231F20"/>
          <w:spacing w:val="40"/>
          <w:sz w:val="20"/>
        </w:rPr>
        <w:t> </w:t>
      </w:r>
      <w:r>
        <w:rPr>
          <w:color w:val="231F20"/>
          <w:sz w:val="20"/>
        </w:rPr>
        <w:t>with</w:t>
      </w:r>
      <w:r>
        <w:rPr>
          <w:color w:val="231F20"/>
          <w:spacing w:val="40"/>
          <w:sz w:val="20"/>
        </w:rPr>
        <w:t> </w:t>
      </w:r>
      <w:r>
        <w:rPr>
          <w:color w:val="231F20"/>
          <w:sz w:val="20"/>
        </w:rPr>
        <w:t>legitimate</w:t>
      </w:r>
      <w:r>
        <w:rPr>
          <w:color w:val="231F20"/>
          <w:spacing w:val="40"/>
          <w:sz w:val="20"/>
        </w:rPr>
        <w:t> </w:t>
      </w:r>
      <w:r>
        <w:rPr>
          <w:color w:val="231F20"/>
          <w:sz w:val="20"/>
        </w:rPr>
        <w:t>operating</w:t>
      </w:r>
      <w:r>
        <w:rPr>
          <w:color w:val="231F20"/>
          <w:spacing w:val="40"/>
          <w:sz w:val="20"/>
        </w:rPr>
        <w:t> </w:t>
      </w:r>
      <w:r>
        <w:rPr>
          <w:color w:val="231F20"/>
          <w:sz w:val="20"/>
        </w:rPr>
        <w:t>qualifications</w:t>
      </w:r>
      <w:r>
        <w:rPr>
          <w:color w:val="231F20"/>
          <w:spacing w:val="40"/>
          <w:sz w:val="20"/>
        </w:rPr>
        <w:t> </w:t>
      </w:r>
      <w:r>
        <w:rPr>
          <w:color w:val="231F20"/>
          <w:sz w:val="20"/>
        </w:rPr>
        <w:t>for</w:t>
      </w:r>
      <w:r>
        <w:rPr>
          <w:color w:val="231F20"/>
          <w:spacing w:val="40"/>
          <w:sz w:val="20"/>
        </w:rPr>
        <w:t> </w:t>
      </w:r>
      <w:r>
        <w:rPr>
          <w:color w:val="231F20"/>
          <w:sz w:val="20"/>
        </w:rPr>
        <w:t>further</w:t>
      </w:r>
      <w:r>
        <w:rPr>
          <w:color w:val="231F20"/>
          <w:spacing w:val="40"/>
          <w:sz w:val="20"/>
        </w:rPr>
        <w:t> </w:t>
      </w:r>
      <w:r>
        <w:rPr>
          <w:color w:val="231F20"/>
          <w:sz w:val="20"/>
        </w:rPr>
        <w:t>cooperation</w:t>
      </w:r>
      <w:r>
        <w:rPr>
          <w:color w:val="231F20"/>
          <w:spacing w:val="40"/>
          <w:sz w:val="20"/>
        </w:rPr>
        <w:t> </w:t>
      </w:r>
      <w:r>
        <w:rPr>
          <w:color w:val="231F20"/>
          <w:sz w:val="20"/>
        </w:rPr>
        <w:t>with the Company;</w:t>
      </w:r>
    </w:p>
    <w:p>
      <w:pPr>
        <w:pStyle w:val="ListParagraph"/>
        <w:spacing w:after="0" w:line="292" w:lineRule="auto"/>
        <w:jc w:val="both"/>
        <w:rPr>
          <w:sz w:val="20"/>
        </w:rPr>
        <w:sectPr>
          <w:pgSz w:w="11910" w:h="15880"/>
          <w:pgMar w:header="567" w:footer="573" w:top="1300" w:bottom="760" w:left="1275" w:right="1275"/>
        </w:sectPr>
      </w:pPr>
    </w:p>
    <w:p>
      <w:pPr>
        <w:pStyle w:val="BodyText"/>
        <w:spacing w:before="144"/>
      </w:pPr>
    </w:p>
    <w:p>
      <w:pPr>
        <w:pStyle w:val="ListParagraph"/>
        <w:numPr>
          <w:ilvl w:val="2"/>
          <w:numId w:val="10"/>
        </w:numPr>
        <w:tabs>
          <w:tab w:pos="2410" w:val="left" w:leader="none"/>
        </w:tabs>
        <w:spacing w:line="292" w:lineRule="auto" w:before="1" w:after="0"/>
        <w:ind w:left="2410" w:right="134" w:hanging="567"/>
        <w:jc w:val="both"/>
        <w:rPr>
          <w:sz w:val="20"/>
        </w:rPr>
      </w:pPr>
      <w:r>
        <w:rPr>
          <w:color w:val="231F20"/>
          <w:sz w:val="20"/>
        </w:rPr>
        <w:t>The internal audit department of the Company is responsible for supervising wealth management activities and conducts audits and verifications on the progress, profit/ loss, fund utilization, and risk control of the wealth management products of </w:t>
      </w:r>
      <w:r>
        <w:rPr>
          <w:color w:val="231F20"/>
          <w:sz w:val="20"/>
        </w:rPr>
        <w:t>the Company from time to time;</w:t>
      </w:r>
    </w:p>
    <w:p>
      <w:pPr>
        <w:pStyle w:val="BodyText"/>
        <w:spacing w:before="47"/>
      </w:pPr>
    </w:p>
    <w:p>
      <w:pPr>
        <w:pStyle w:val="ListParagraph"/>
        <w:numPr>
          <w:ilvl w:val="2"/>
          <w:numId w:val="10"/>
        </w:numPr>
        <w:tabs>
          <w:tab w:pos="2410" w:val="left" w:leader="none"/>
        </w:tabs>
        <w:spacing w:line="292" w:lineRule="auto" w:before="0" w:after="0"/>
        <w:ind w:left="2410" w:right="140" w:hanging="567"/>
        <w:jc w:val="both"/>
        <w:rPr>
          <w:sz w:val="20"/>
        </w:rPr>
      </w:pPr>
      <w:r>
        <w:rPr>
          <w:color w:val="231F20"/>
          <w:sz w:val="20"/>
        </w:rPr>
        <w:t>Independent Directors have the right to supervise and inspect wealth management activities and may appoint professional institutions for auditing wherever necessary.</w:t>
      </w:r>
    </w:p>
    <w:p>
      <w:pPr>
        <w:pStyle w:val="BodyText"/>
        <w:spacing w:before="49"/>
      </w:pPr>
    </w:p>
    <w:p>
      <w:pPr>
        <w:pStyle w:val="ListParagraph"/>
        <w:numPr>
          <w:ilvl w:val="0"/>
          <w:numId w:val="10"/>
        </w:numPr>
        <w:tabs>
          <w:tab w:pos="1276" w:val="left" w:leader="none"/>
        </w:tabs>
        <w:spacing w:line="240" w:lineRule="auto" w:before="0" w:after="0"/>
        <w:ind w:left="1276" w:right="0" w:hanging="567"/>
        <w:jc w:val="left"/>
        <w:rPr>
          <w:b/>
          <w:sz w:val="20"/>
        </w:rPr>
      </w:pPr>
      <w:r>
        <w:rPr>
          <w:b/>
          <w:color w:val="231F20"/>
          <w:sz w:val="20"/>
        </w:rPr>
        <w:t>Impact</w:t>
      </w:r>
      <w:r>
        <w:rPr>
          <w:b/>
          <w:color w:val="231F20"/>
          <w:spacing w:val="22"/>
          <w:sz w:val="20"/>
        </w:rPr>
        <w:t> </w:t>
      </w:r>
      <w:r>
        <w:rPr>
          <w:b/>
          <w:color w:val="231F20"/>
          <w:sz w:val="20"/>
        </w:rPr>
        <w:t>on</w:t>
      </w:r>
      <w:r>
        <w:rPr>
          <w:b/>
          <w:color w:val="231F20"/>
          <w:spacing w:val="23"/>
          <w:sz w:val="20"/>
        </w:rPr>
        <w:t> </w:t>
      </w:r>
      <w:r>
        <w:rPr>
          <w:b/>
          <w:color w:val="231F20"/>
          <w:sz w:val="20"/>
        </w:rPr>
        <w:t>The</w:t>
      </w:r>
      <w:r>
        <w:rPr>
          <w:b/>
          <w:color w:val="231F20"/>
          <w:spacing w:val="22"/>
          <w:sz w:val="20"/>
        </w:rPr>
        <w:t> </w:t>
      </w:r>
      <w:r>
        <w:rPr>
          <w:b/>
          <w:color w:val="231F20"/>
          <w:spacing w:val="-2"/>
          <w:sz w:val="20"/>
        </w:rPr>
        <w:t>Company</w:t>
      </w:r>
    </w:p>
    <w:p>
      <w:pPr>
        <w:pStyle w:val="BodyText"/>
        <w:spacing w:before="100"/>
        <w:rPr>
          <w:b/>
        </w:rPr>
      </w:pPr>
    </w:p>
    <w:p>
      <w:pPr>
        <w:pStyle w:val="BodyText"/>
        <w:spacing w:line="292" w:lineRule="auto"/>
        <w:ind w:left="709" w:right="134" w:firstLine="567"/>
        <w:jc w:val="both"/>
      </w:pPr>
      <w:r>
        <w:rPr>
          <w:color w:val="231F20"/>
        </w:rPr>
        <w:t>The Company and its subsidiaries, while meeting their working capital requirements for </w:t>
      </w:r>
      <w:r>
        <w:rPr>
          <w:color w:val="231F20"/>
        </w:rPr>
        <w:t>daily production and operation and effectively controlling risks, reasonably utilize internal idle funds for</w:t>
      </w:r>
      <w:r>
        <w:rPr>
          <w:color w:val="231F20"/>
          <w:spacing w:val="80"/>
        </w:rPr>
        <w:t> </w:t>
      </w:r>
      <w:r>
        <w:rPr>
          <w:color w:val="231F20"/>
        </w:rPr>
        <w:t>wealth management. This will not affect the Company’s day to day operations. The types of wealth management</w:t>
      </w:r>
      <w:r>
        <w:rPr>
          <w:color w:val="231F20"/>
          <w:spacing w:val="40"/>
        </w:rPr>
        <w:t> </w:t>
      </w:r>
      <w:r>
        <w:rPr>
          <w:color w:val="231F20"/>
        </w:rPr>
        <w:t>products</w:t>
      </w:r>
      <w:r>
        <w:rPr>
          <w:color w:val="231F20"/>
          <w:spacing w:val="40"/>
        </w:rPr>
        <w:t> </w:t>
      </w:r>
      <w:r>
        <w:rPr>
          <w:color w:val="231F20"/>
        </w:rPr>
        <w:t>are</w:t>
      </w:r>
      <w:r>
        <w:rPr>
          <w:color w:val="231F20"/>
          <w:spacing w:val="40"/>
        </w:rPr>
        <w:t> </w:t>
      </w:r>
      <w:r>
        <w:rPr>
          <w:color w:val="231F20"/>
        </w:rPr>
        <w:t>those</w:t>
      </w:r>
      <w:r>
        <w:rPr>
          <w:color w:val="231F20"/>
          <w:spacing w:val="40"/>
        </w:rPr>
        <w:t> </w:t>
      </w:r>
      <w:r>
        <w:rPr>
          <w:color w:val="231F20"/>
        </w:rPr>
        <w:t>with</w:t>
      </w:r>
      <w:r>
        <w:rPr>
          <w:color w:val="231F20"/>
          <w:spacing w:val="40"/>
        </w:rPr>
        <w:t> </w:t>
      </w:r>
      <w:r>
        <w:rPr>
          <w:color w:val="231F20"/>
        </w:rPr>
        <w:t>high</w:t>
      </w:r>
      <w:r>
        <w:rPr>
          <w:color w:val="231F20"/>
          <w:spacing w:val="40"/>
        </w:rPr>
        <w:t> </w:t>
      </w:r>
      <w:r>
        <w:rPr>
          <w:color w:val="231F20"/>
        </w:rPr>
        <w:t>security</w:t>
      </w:r>
      <w:r>
        <w:rPr>
          <w:color w:val="231F20"/>
          <w:spacing w:val="40"/>
        </w:rPr>
        <w:t> </w:t>
      </w:r>
      <w:r>
        <w:rPr>
          <w:color w:val="231F20"/>
        </w:rPr>
        <w:t>and</w:t>
      </w:r>
      <w:r>
        <w:rPr>
          <w:color w:val="231F20"/>
          <w:spacing w:val="40"/>
        </w:rPr>
        <w:t> </w:t>
      </w:r>
      <w:r>
        <w:rPr>
          <w:color w:val="231F20"/>
        </w:rPr>
        <w:t>good</w:t>
      </w:r>
      <w:r>
        <w:rPr>
          <w:color w:val="231F20"/>
          <w:spacing w:val="40"/>
        </w:rPr>
        <w:t> </w:t>
      </w:r>
      <w:r>
        <w:rPr>
          <w:color w:val="231F20"/>
        </w:rPr>
        <w:t>liquidity</w:t>
      </w:r>
      <w:r>
        <w:rPr>
          <w:color w:val="231F20"/>
          <w:spacing w:val="40"/>
        </w:rPr>
        <w:t> </w:t>
      </w:r>
      <w:r>
        <w:rPr>
          <w:color w:val="231F20"/>
        </w:rPr>
        <w:t>sold</w:t>
      </w:r>
      <w:r>
        <w:rPr>
          <w:color w:val="231F20"/>
          <w:spacing w:val="40"/>
        </w:rPr>
        <w:t> </w:t>
      </w:r>
      <w:r>
        <w:rPr>
          <w:color w:val="231F20"/>
        </w:rPr>
        <w:t>by</w:t>
      </w:r>
      <w:r>
        <w:rPr>
          <w:color w:val="231F20"/>
          <w:spacing w:val="40"/>
        </w:rPr>
        <w:t> </w:t>
      </w:r>
      <w:r>
        <w:rPr>
          <w:color w:val="231F20"/>
        </w:rPr>
        <w:t>financial</w:t>
      </w:r>
      <w:r>
        <w:rPr>
          <w:color w:val="231F20"/>
          <w:spacing w:val="40"/>
        </w:rPr>
        <w:t> </w:t>
      </w:r>
      <w:r>
        <w:rPr>
          <w:color w:val="231F20"/>
        </w:rPr>
        <w:t>institutions with legitimate operating qualifications, which is conducive to improving the efficiency of idle self- owned</w:t>
      </w:r>
      <w:r>
        <w:rPr>
          <w:color w:val="231F20"/>
          <w:spacing w:val="34"/>
        </w:rPr>
        <w:t> </w:t>
      </w:r>
      <w:r>
        <w:rPr>
          <w:color w:val="231F20"/>
        </w:rPr>
        <w:t>funds</w:t>
      </w:r>
      <w:r>
        <w:rPr>
          <w:color w:val="231F20"/>
          <w:spacing w:val="34"/>
        </w:rPr>
        <w:t> </w:t>
      </w:r>
      <w:r>
        <w:rPr>
          <w:color w:val="231F20"/>
        </w:rPr>
        <w:t>utilization</w:t>
      </w:r>
      <w:r>
        <w:rPr>
          <w:color w:val="231F20"/>
          <w:spacing w:val="34"/>
        </w:rPr>
        <w:t> </w:t>
      </w:r>
      <w:r>
        <w:rPr>
          <w:color w:val="231F20"/>
        </w:rPr>
        <w:t>and</w:t>
      </w:r>
      <w:r>
        <w:rPr>
          <w:color w:val="231F20"/>
          <w:spacing w:val="34"/>
        </w:rPr>
        <w:t> </w:t>
      </w:r>
      <w:r>
        <w:rPr>
          <w:color w:val="231F20"/>
        </w:rPr>
        <w:t>the</w:t>
      </w:r>
      <w:r>
        <w:rPr>
          <w:color w:val="231F20"/>
          <w:spacing w:val="34"/>
        </w:rPr>
        <w:t> </w:t>
      </w:r>
      <w:r>
        <w:rPr>
          <w:color w:val="231F20"/>
        </w:rPr>
        <w:t>return</w:t>
      </w:r>
      <w:r>
        <w:rPr>
          <w:color w:val="231F20"/>
          <w:spacing w:val="34"/>
        </w:rPr>
        <w:t> </w:t>
      </w:r>
      <w:r>
        <w:rPr>
          <w:color w:val="231F20"/>
        </w:rPr>
        <w:t>on</w:t>
      </w:r>
      <w:r>
        <w:rPr>
          <w:color w:val="231F20"/>
          <w:spacing w:val="34"/>
        </w:rPr>
        <w:t> </w:t>
      </w:r>
      <w:r>
        <w:rPr>
          <w:color w:val="231F20"/>
        </w:rPr>
        <w:t>cash</w:t>
      </w:r>
      <w:r>
        <w:rPr>
          <w:color w:val="231F20"/>
          <w:spacing w:val="34"/>
        </w:rPr>
        <w:t> </w:t>
      </w:r>
      <w:r>
        <w:rPr>
          <w:color w:val="231F20"/>
        </w:rPr>
        <w:t>assets,</w:t>
      </w:r>
      <w:r>
        <w:rPr>
          <w:color w:val="231F20"/>
          <w:spacing w:val="34"/>
        </w:rPr>
        <w:t> </w:t>
      </w:r>
      <w:r>
        <w:rPr>
          <w:color w:val="231F20"/>
        </w:rPr>
        <w:t>and</w:t>
      </w:r>
      <w:r>
        <w:rPr>
          <w:color w:val="231F20"/>
          <w:spacing w:val="34"/>
        </w:rPr>
        <w:t> </w:t>
      </w:r>
      <w:r>
        <w:rPr>
          <w:color w:val="231F20"/>
        </w:rPr>
        <w:t>it</w:t>
      </w:r>
      <w:r>
        <w:rPr>
          <w:color w:val="231F20"/>
          <w:spacing w:val="34"/>
        </w:rPr>
        <w:t> </w:t>
      </w:r>
      <w:r>
        <w:rPr>
          <w:color w:val="231F20"/>
        </w:rPr>
        <w:t>is</w:t>
      </w:r>
      <w:r>
        <w:rPr>
          <w:color w:val="231F20"/>
          <w:spacing w:val="34"/>
        </w:rPr>
        <w:t> </w:t>
      </w:r>
      <w:r>
        <w:rPr>
          <w:color w:val="231F20"/>
        </w:rPr>
        <w:t>in</w:t>
      </w:r>
      <w:r>
        <w:rPr>
          <w:color w:val="231F20"/>
          <w:spacing w:val="34"/>
        </w:rPr>
        <w:t> </w:t>
      </w:r>
      <w:r>
        <w:rPr>
          <w:color w:val="231F20"/>
        </w:rPr>
        <w:t>the</w:t>
      </w:r>
      <w:r>
        <w:rPr>
          <w:color w:val="231F20"/>
          <w:spacing w:val="34"/>
        </w:rPr>
        <w:t> </w:t>
      </w:r>
      <w:r>
        <w:rPr>
          <w:color w:val="231F20"/>
        </w:rPr>
        <w:t>interests</w:t>
      </w:r>
      <w:r>
        <w:rPr>
          <w:color w:val="231F20"/>
          <w:spacing w:val="34"/>
        </w:rPr>
        <w:t> </w:t>
      </w:r>
      <w:r>
        <w:rPr>
          <w:color w:val="231F20"/>
        </w:rPr>
        <w:t>of</w:t>
      </w:r>
      <w:r>
        <w:rPr>
          <w:color w:val="231F20"/>
          <w:spacing w:val="34"/>
        </w:rPr>
        <w:t> </w:t>
      </w:r>
      <w:r>
        <w:rPr>
          <w:color w:val="231F20"/>
        </w:rPr>
        <w:t>the</w:t>
      </w:r>
      <w:r>
        <w:rPr>
          <w:color w:val="231F20"/>
          <w:spacing w:val="34"/>
        </w:rPr>
        <w:t> </w:t>
      </w:r>
      <w:r>
        <w:rPr>
          <w:color w:val="231F20"/>
        </w:rPr>
        <w:t>Company</w:t>
      </w:r>
      <w:r>
        <w:rPr>
          <w:color w:val="231F20"/>
          <w:spacing w:val="34"/>
        </w:rPr>
        <w:t> </w:t>
      </w:r>
      <w:r>
        <w:rPr>
          <w:color w:val="231F20"/>
        </w:rPr>
        <w:t>and all Shareholders.</w:t>
      </w:r>
    </w:p>
    <w:p>
      <w:pPr>
        <w:pStyle w:val="BodyText"/>
        <w:spacing w:before="46"/>
      </w:pPr>
    </w:p>
    <w:p>
      <w:pPr>
        <w:pStyle w:val="BodyText"/>
        <w:spacing w:line="271" w:lineRule="auto"/>
        <w:ind w:left="709" w:right="130" w:firstLine="567"/>
        <w:jc w:val="both"/>
      </w:pPr>
      <w:r>
        <w:rPr>
          <w:color w:val="231F20"/>
        </w:rPr>
        <w:t>The Company shall conduct accounting and reporting in accordance with the relevant provisions</w:t>
      </w:r>
      <w:r>
        <w:rPr>
          <w:color w:val="231F20"/>
          <w:spacing w:val="80"/>
        </w:rPr>
        <w:t> </w:t>
      </w:r>
      <w:r>
        <w:rPr>
          <w:color w:val="231F20"/>
        </w:rPr>
        <w:t>of the Accounting Standards for Business Enterprises No. 22 </w:t>
      </w:r>
      <w:r>
        <w:rPr>
          <w:color w:val="231F20"/>
          <w:position w:val="3"/>
        </w:rPr>
        <w:t>– </w:t>
      </w:r>
      <w:r>
        <w:rPr>
          <w:color w:val="231F20"/>
        </w:rPr>
        <w:t>Recognition and Measurement of</w:t>
      </w:r>
      <w:r>
        <w:rPr>
          <w:color w:val="231F20"/>
          <w:spacing w:val="40"/>
        </w:rPr>
        <w:t> </w:t>
      </w:r>
      <w:r>
        <w:rPr>
          <w:color w:val="231F20"/>
        </w:rPr>
        <w:t>Financial Instruments and Accounting Standards for Business Enterprises No. 37 </w:t>
      </w:r>
      <w:r>
        <w:rPr>
          <w:color w:val="231F20"/>
          <w:position w:val="3"/>
        </w:rPr>
        <w:t>– </w:t>
      </w:r>
      <w:r>
        <w:rPr>
          <w:color w:val="231F20"/>
        </w:rPr>
        <w:t>Presentation </w:t>
      </w:r>
      <w:r>
        <w:rPr>
          <w:color w:val="231F20"/>
        </w:rPr>
        <w:t>of Financial</w:t>
      </w:r>
      <w:r>
        <w:rPr>
          <w:color w:val="231F20"/>
          <w:spacing w:val="40"/>
        </w:rPr>
        <w:t> </w:t>
      </w:r>
      <w:r>
        <w:rPr>
          <w:color w:val="231F20"/>
        </w:rPr>
        <w:t>Instruments,</w:t>
      </w:r>
      <w:r>
        <w:rPr>
          <w:color w:val="231F20"/>
          <w:spacing w:val="40"/>
        </w:rPr>
        <w:t> </w:t>
      </w:r>
      <w:r>
        <w:rPr>
          <w:color w:val="231F20"/>
        </w:rPr>
        <w:t>etc.,</w:t>
      </w:r>
      <w:r>
        <w:rPr>
          <w:color w:val="231F20"/>
          <w:spacing w:val="40"/>
        </w:rPr>
        <w:t> </w:t>
      </w:r>
      <w:r>
        <w:rPr>
          <w:color w:val="231F20"/>
        </w:rPr>
        <w:t>issued</w:t>
      </w:r>
      <w:r>
        <w:rPr>
          <w:color w:val="231F20"/>
          <w:spacing w:val="40"/>
        </w:rPr>
        <w:t> </w:t>
      </w:r>
      <w:r>
        <w:rPr>
          <w:color w:val="231F20"/>
        </w:rPr>
        <w:t>by</w:t>
      </w:r>
      <w:r>
        <w:rPr>
          <w:color w:val="231F20"/>
          <w:spacing w:val="40"/>
        </w:rPr>
        <w:t> </w:t>
      </w:r>
      <w:r>
        <w:rPr>
          <w:color w:val="231F20"/>
        </w:rPr>
        <w:t>the</w:t>
      </w:r>
      <w:r>
        <w:rPr>
          <w:color w:val="231F20"/>
          <w:spacing w:val="40"/>
        </w:rPr>
        <w:t> </w:t>
      </w:r>
      <w:r>
        <w:rPr>
          <w:color w:val="231F20"/>
        </w:rPr>
        <w:t>Ministry</w:t>
      </w:r>
      <w:r>
        <w:rPr>
          <w:color w:val="231F20"/>
          <w:spacing w:val="40"/>
        </w:rPr>
        <w:t> </w:t>
      </w:r>
      <w:r>
        <w:rPr>
          <w:color w:val="231F20"/>
        </w:rPr>
        <w:t>of</w:t>
      </w:r>
      <w:r>
        <w:rPr>
          <w:color w:val="231F20"/>
          <w:spacing w:val="40"/>
        </w:rPr>
        <w:t> </w:t>
      </w:r>
      <w:r>
        <w:rPr>
          <w:color w:val="231F20"/>
        </w:rPr>
        <w:t>Finance</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PRC.</w:t>
      </w:r>
    </w:p>
    <w:p>
      <w:pPr>
        <w:pStyle w:val="BodyText"/>
        <w:spacing w:before="71"/>
      </w:pPr>
    </w:p>
    <w:p>
      <w:pPr>
        <w:pStyle w:val="BodyText"/>
        <w:spacing w:line="292" w:lineRule="auto"/>
        <w:ind w:left="709" w:right="135" w:firstLine="567"/>
        <w:jc w:val="both"/>
      </w:pPr>
      <w:r>
        <w:rPr>
          <w:color w:val="231F20"/>
        </w:rPr>
        <w:t>The proposal has been considered and approved at the 30th meeting of the fifth session of </w:t>
      </w:r>
      <w:r>
        <w:rPr>
          <w:color w:val="231F20"/>
        </w:rPr>
        <w:t>the Board held on August 20, 2025, and is subject to the Shareholders’ consideration and approval at the</w:t>
      </w:r>
      <w:r>
        <w:rPr>
          <w:color w:val="231F20"/>
          <w:spacing w:val="80"/>
        </w:rPr>
        <w:t> </w:t>
      </w:r>
      <w:r>
        <w:rPr>
          <w:color w:val="231F20"/>
        </w:rPr>
        <w:t>2025 Second EGM.</w:t>
      </w:r>
    </w:p>
    <w:p>
      <w:pPr>
        <w:pStyle w:val="BodyText"/>
        <w:spacing w:after="0" w:line="292" w:lineRule="auto"/>
        <w:jc w:val="both"/>
        <w:sectPr>
          <w:pgSz w:w="11910" w:h="15880"/>
          <w:pgMar w:header="567" w:footer="573" w:top="1300" w:bottom="760" w:left="1275" w:right="1275"/>
        </w:sectPr>
      </w:pPr>
    </w:p>
    <w:p>
      <w:pPr>
        <w:pStyle w:val="Heading1"/>
      </w:pPr>
      <w:r>
        <w:rPr/>
        <mc:AlternateContent>
          <mc:Choice Requires="wps">
            <w:drawing>
              <wp:anchor distT="0" distB="0" distL="0" distR="0" allowOverlap="1" layoutInCell="1" locked="0" behindDoc="0" simplePos="0" relativeHeight="15730688">
                <wp:simplePos x="0" y="0"/>
                <wp:positionH relativeFrom="page">
                  <wp:posOffset>1918566</wp:posOffset>
                </wp:positionH>
                <wp:positionV relativeFrom="paragraph">
                  <wp:posOffset>60191</wp:posOffset>
                </wp:positionV>
                <wp:extent cx="691515" cy="691515"/>
                <wp:effectExtent l="0" t="0" r="0" b="0"/>
                <wp:wrapNone/>
                <wp:docPr id="33" name="Group 33"/>
                <wp:cNvGraphicFramePr>
                  <a:graphicFrameLocks/>
                </wp:cNvGraphicFramePr>
                <a:graphic>
                  <a:graphicData uri="http://schemas.microsoft.com/office/word/2010/wordprocessingGroup">
                    <wpg:wgp>
                      <wpg:cNvPr id="33" name="Group 33"/>
                      <wpg:cNvGrpSpPr/>
                      <wpg:grpSpPr>
                        <a:xfrm>
                          <a:off x="0" y="0"/>
                          <a:ext cx="691515" cy="691515"/>
                          <a:chExt cx="691515" cy="691515"/>
                        </a:xfrm>
                      </wpg:grpSpPr>
                      <wps:wsp>
                        <wps:cNvPr id="34" name="Graphic 34"/>
                        <wps:cNvSpPr/>
                        <wps:spPr>
                          <a:xfrm>
                            <a:off x="182678" y="183042"/>
                            <a:ext cx="325755" cy="325755"/>
                          </a:xfrm>
                          <a:custGeom>
                            <a:avLst/>
                            <a:gdLst/>
                            <a:ahLst/>
                            <a:cxnLst/>
                            <a:rect l="l" t="t" r="r" b="b"/>
                            <a:pathLst>
                              <a:path w="325755" h="325755">
                                <a:moveTo>
                                  <a:pt x="162612" y="0"/>
                                </a:moveTo>
                                <a:lnTo>
                                  <a:pt x="5905" y="148361"/>
                                </a:lnTo>
                                <a:lnTo>
                                  <a:pt x="0" y="162615"/>
                                </a:lnTo>
                                <a:lnTo>
                                  <a:pt x="1476" y="170198"/>
                                </a:lnTo>
                                <a:lnTo>
                                  <a:pt x="5905" y="176860"/>
                                </a:lnTo>
                                <a:lnTo>
                                  <a:pt x="148361" y="319316"/>
                                </a:lnTo>
                                <a:lnTo>
                                  <a:pt x="155029" y="323745"/>
                                </a:lnTo>
                                <a:lnTo>
                                  <a:pt x="162612" y="325221"/>
                                </a:lnTo>
                                <a:lnTo>
                                  <a:pt x="170198" y="323745"/>
                                </a:lnTo>
                                <a:lnTo>
                                  <a:pt x="176872" y="319316"/>
                                </a:lnTo>
                                <a:lnTo>
                                  <a:pt x="242205" y="253977"/>
                                </a:lnTo>
                                <a:lnTo>
                                  <a:pt x="162612" y="253977"/>
                                </a:lnTo>
                                <a:lnTo>
                                  <a:pt x="155029" y="252503"/>
                                </a:lnTo>
                                <a:lnTo>
                                  <a:pt x="148361" y="248081"/>
                                </a:lnTo>
                                <a:lnTo>
                                  <a:pt x="77139" y="176860"/>
                                </a:lnTo>
                                <a:lnTo>
                                  <a:pt x="72717" y="170198"/>
                                </a:lnTo>
                                <a:lnTo>
                                  <a:pt x="71243" y="162615"/>
                                </a:lnTo>
                                <a:lnTo>
                                  <a:pt x="72717" y="155030"/>
                                </a:lnTo>
                                <a:lnTo>
                                  <a:pt x="77139" y="148361"/>
                                </a:lnTo>
                                <a:lnTo>
                                  <a:pt x="148361" y="77139"/>
                                </a:lnTo>
                                <a:lnTo>
                                  <a:pt x="155029" y="72717"/>
                                </a:lnTo>
                                <a:lnTo>
                                  <a:pt x="162612" y="71243"/>
                                </a:lnTo>
                                <a:lnTo>
                                  <a:pt x="242205" y="71243"/>
                                </a:lnTo>
                                <a:lnTo>
                                  <a:pt x="176872" y="5905"/>
                                </a:lnTo>
                                <a:lnTo>
                                  <a:pt x="170198" y="1476"/>
                                </a:lnTo>
                                <a:lnTo>
                                  <a:pt x="162612" y="0"/>
                                </a:lnTo>
                                <a:close/>
                              </a:path>
                              <a:path w="325755" h="325755">
                                <a:moveTo>
                                  <a:pt x="242205" y="71243"/>
                                </a:moveTo>
                                <a:lnTo>
                                  <a:pt x="162612" y="71243"/>
                                </a:lnTo>
                                <a:lnTo>
                                  <a:pt x="170198" y="72717"/>
                                </a:lnTo>
                                <a:lnTo>
                                  <a:pt x="176872" y="77139"/>
                                </a:lnTo>
                                <a:lnTo>
                                  <a:pt x="248081" y="148361"/>
                                </a:lnTo>
                                <a:lnTo>
                                  <a:pt x="252510" y="155030"/>
                                </a:lnTo>
                                <a:lnTo>
                                  <a:pt x="253987" y="162615"/>
                                </a:lnTo>
                                <a:lnTo>
                                  <a:pt x="252510" y="170198"/>
                                </a:lnTo>
                                <a:lnTo>
                                  <a:pt x="248081" y="176860"/>
                                </a:lnTo>
                                <a:lnTo>
                                  <a:pt x="176872" y="248081"/>
                                </a:lnTo>
                                <a:lnTo>
                                  <a:pt x="170198" y="252503"/>
                                </a:lnTo>
                                <a:lnTo>
                                  <a:pt x="162612" y="253977"/>
                                </a:lnTo>
                                <a:lnTo>
                                  <a:pt x="242205" y="253977"/>
                                </a:lnTo>
                                <a:lnTo>
                                  <a:pt x="319316" y="176860"/>
                                </a:lnTo>
                                <a:lnTo>
                                  <a:pt x="323745" y="170198"/>
                                </a:lnTo>
                                <a:lnTo>
                                  <a:pt x="325221" y="162615"/>
                                </a:lnTo>
                                <a:lnTo>
                                  <a:pt x="323745" y="155030"/>
                                </a:lnTo>
                                <a:lnTo>
                                  <a:pt x="319316" y="148361"/>
                                </a:lnTo>
                                <a:lnTo>
                                  <a:pt x="242205" y="71243"/>
                                </a:lnTo>
                                <a:close/>
                              </a:path>
                            </a:pathLst>
                          </a:custGeom>
                          <a:solidFill>
                            <a:srgbClr val="902635"/>
                          </a:solidFill>
                        </wps:spPr>
                        <wps:bodyPr wrap="square" lIns="0" tIns="0" rIns="0" bIns="0" rtlCol="0">
                          <a:prstTxWarp prst="textNoShape">
                            <a:avLst/>
                          </a:prstTxWarp>
                          <a:noAutofit/>
                        </wps:bodyPr>
                      </wps:wsp>
                      <wps:wsp>
                        <wps:cNvPr id="35" name="Graphic 35"/>
                        <wps:cNvSpPr/>
                        <wps:spPr>
                          <a:xfrm>
                            <a:off x="-2" y="0"/>
                            <a:ext cx="691515" cy="691515"/>
                          </a:xfrm>
                          <a:custGeom>
                            <a:avLst/>
                            <a:gdLst/>
                            <a:ahLst/>
                            <a:cxnLst/>
                            <a:rect l="l" t="t" r="r" b="b"/>
                            <a:pathLst>
                              <a:path w="691515" h="691515">
                                <a:moveTo>
                                  <a:pt x="320497" y="565683"/>
                                </a:moveTo>
                                <a:lnTo>
                                  <a:pt x="318376" y="560539"/>
                                </a:lnTo>
                                <a:lnTo>
                                  <a:pt x="314579" y="556780"/>
                                </a:lnTo>
                                <a:lnTo>
                                  <a:pt x="270192" y="512394"/>
                                </a:lnTo>
                                <a:lnTo>
                                  <a:pt x="270192" y="586549"/>
                                </a:lnTo>
                                <a:lnTo>
                                  <a:pt x="270192" y="640676"/>
                                </a:lnTo>
                                <a:lnTo>
                                  <a:pt x="216319" y="640676"/>
                                </a:lnTo>
                                <a:lnTo>
                                  <a:pt x="210985" y="638467"/>
                                </a:lnTo>
                                <a:lnTo>
                                  <a:pt x="52514" y="479983"/>
                                </a:lnTo>
                                <a:lnTo>
                                  <a:pt x="50368" y="474764"/>
                                </a:lnTo>
                                <a:lnTo>
                                  <a:pt x="50469" y="442264"/>
                                </a:lnTo>
                                <a:lnTo>
                                  <a:pt x="52158" y="433984"/>
                                </a:lnTo>
                                <a:lnTo>
                                  <a:pt x="56730" y="427228"/>
                                </a:lnTo>
                                <a:lnTo>
                                  <a:pt x="63512" y="422681"/>
                                </a:lnTo>
                                <a:lnTo>
                                  <a:pt x="71666" y="421043"/>
                                </a:lnTo>
                                <a:lnTo>
                                  <a:pt x="104711" y="421043"/>
                                </a:lnTo>
                                <a:lnTo>
                                  <a:pt x="109893" y="423189"/>
                                </a:lnTo>
                                <a:lnTo>
                                  <a:pt x="268046" y="581355"/>
                                </a:lnTo>
                                <a:lnTo>
                                  <a:pt x="270192" y="586549"/>
                                </a:lnTo>
                                <a:lnTo>
                                  <a:pt x="270192" y="512394"/>
                                </a:lnTo>
                                <a:lnTo>
                                  <a:pt x="178854" y="421043"/>
                                </a:lnTo>
                                <a:lnTo>
                                  <a:pt x="130695" y="372872"/>
                                </a:lnTo>
                                <a:lnTo>
                                  <a:pt x="125577" y="370751"/>
                                </a:lnTo>
                                <a:lnTo>
                                  <a:pt x="20256" y="370751"/>
                                </a:lnTo>
                                <a:lnTo>
                                  <a:pt x="12623" y="372275"/>
                                </a:lnTo>
                                <a:lnTo>
                                  <a:pt x="6121" y="376567"/>
                                </a:lnTo>
                                <a:lnTo>
                                  <a:pt x="1676" y="382955"/>
                                </a:lnTo>
                                <a:lnTo>
                                  <a:pt x="25" y="390779"/>
                                </a:lnTo>
                                <a:lnTo>
                                  <a:pt x="0" y="495579"/>
                                </a:lnTo>
                                <a:lnTo>
                                  <a:pt x="2120" y="500722"/>
                                </a:lnTo>
                                <a:lnTo>
                                  <a:pt x="190169" y="688771"/>
                                </a:lnTo>
                                <a:lnTo>
                                  <a:pt x="195567" y="690994"/>
                                </a:lnTo>
                                <a:lnTo>
                                  <a:pt x="300316" y="690994"/>
                                </a:lnTo>
                                <a:lnTo>
                                  <a:pt x="308152" y="689419"/>
                                </a:lnTo>
                                <a:lnTo>
                                  <a:pt x="314566" y="685114"/>
                                </a:lnTo>
                                <a:lnTo>
                                  <a:pt x="318884" y="678700"/>
                                </a:lnTo>
                                <a:lnTo>
                                  <a:pt x="320484" y="670864"/>
                                </a:lnTo>
                                <a:lnTo>
                                  <a:pt x="320484" y="640676"/>
                                </a:lnTo>
                                <a:lnTo>
                                  <a:pt x="320497" y="565683"/>
                                </a:lnTo>
                                <a:close/>
                              </a:path>
                              <a:path w="691515" h="691515">
                                <a:moveTo>
                                  <a:pt x="320560" y="20485"/>
                                </a:moveTo>
                                <a:lnTo>
                                  <a:pt x="318998" y="12611"/>
                                </a:lnTo>
                                <a:lnTo>
                                  <a:pt x="314693" y="6096"/>
                                </a:lnTo>
                                <a:lnTo>
                                  <a:pt x="308305" y="1663"/>
                                </a:lnTo>
                                <a:lnTo>
                                  <a:pt x="300482" y="0"/>
                                </a:lnTo>
                                <a:lnTo>
                                  <a:pt x="270230" y="0"/>
                                </a:lnTo>
                                <a:lnTo>
                                  <a:pt x="270230" y="71780"/>
                                </a:lnTo>
                                <a:lnTo>
                                  <a:pt x="270217" y="106133"/>
                                </a:lnTo>
                                <a:lnTo>
                                  <a:pt x="269087" y="108839"/>
                                </a:lnTo>
                                <a:lnTo>
                                  <a:pt x="108877" y="269062"/>
                                </a:lnTo>
                                <a:lnTo>
                                  <a:pt x="106172" y="270179"/>
                                </a:lnTo>
                                <a:lnTo>
                                  <a:pt x="50584" y="270179"/>
                                </a:lnTo>
                                <a:lnTo>
                                  <a:pt x="50647" y="214693"/>
                                </a:lnTo>
                                <a:lnTo>
                                  <a:pt x="51765" y="211988"/>
                                </a:lnTo>
                                <a:lnTo>
                                  <a:pt x="212305" y="51460"/>
                                </a:lnTo>
                                <a:lnTo>
                                  <a:pt x="214757" y="50457"/>
                                </a:lnTo>
                                <a:lnTo>
                                  <a:pt x="248996" y="50457"/>
                                </a:lnTo>
                                <a:lnTo>
                                  <a:pt x="257276" y="52158"/>
                                </a:lnTo>
                                <a:lnTo>
                                  <a:pt x="264033" y="56730"/>
                                </a:lnTo>
                                <a:lnTo>
                                  <a:pt x="268579" y="63500"/>
                                </a:lnTo>
                                <a:lnTo>
                                  <a:pt x="270230" y="71780"/>
                                </a:lnTo>
                                <a:lnTo>
                                  <a:pt x="270230" y="0"/>
                                </a:lnTo>
                                <a:lnTo>
                                  <a:pt x="195656" y="0"/>
                                </a:lnTo>
                                <a:lnTo>
                                  <a:pt x="190538" y="2095"/>
                                </a:lnTo>
                                <a:lnTo>
                                  <a:pt x="6273" y="186359"/>
                                </a:lnTo>
                                <a:lnTo>
                                  <a:pt x="5410" y="187261"/>
                                </a:lnTo>
                                <a:lnTo>
                                  <a:pt x="4800" y="188341"/>
                                </a:lnTo>
                                <a:lnTo>
                                  <a:pt x="3949" y="189611"/>
                                </a:lnTo>
                                <a:lnTo>
                                  <a:pt x="2768" y="191897"/>
                                </a:lnTo>
                                <a:lnTo>
                                  <a:pt x="1003" y="196037"/>
                                </a:lnTo>
                                <a:lnTo>
                                  <a:pt x="584" y="198780"/>
                                </a:lnTo>
                                <a:lnTo>
                                  <a:pt x="482" y="199402"/>
                                </a:lnTo>
                                <a:lnTo>
                                  <a:pt x="368" y="200596"/>
                                </a:lnTo>
                                <a:lnTo>
                                  <a:pt x="254" y="300291"/>
                                </a:lnTo>
                                <a:lnTo>
                                  <a:pt x="1841" y="308152"/>
                                </a:lnTo>
                                <a:lnTo>
                                  <a:pt x="6159" y="314553"/>
                                </a:lnTo>
                                <a:lnTo>
                                  <a:pt x="12560" y="318884"/>
                                </a:lnTo>
                                <a:lnTo>
                                  <a:pt x="20459" y="320471"/>
                                </a:lnTo>
                                <a:lnTo>
                                  <a:pt x="125577" y="320471"/>
                                </a:lnTo>
                                <a:lnTo>
                                  <a:pt x="178879" y="270179"/>
                                </a:lnTo>
                                <a:lnTo>
                                  <a:pt x="318376" y="130670"/>
                                </a:lnTo>
                                <a:lnTo>
                                  <a:pt x="320548" y="50457"/>
                                </a:lnTo>
                                <a:lnTo>
                                  <a:pt x="320560" y="20485"/>
                                </a:lnTo>
                                <a:close/>
                              </a:path>
                              <a:path w="691515" h="691515">
                                <a:moveTo>
                                  <a:pt x="690892" y="195275"/>
                                </a:moveTo>
                                <a:lnTo>
                                  <a:pt x="688784" y="190144"/>
                                </a:lnTo>
                                <a:lnTo>
                                  <a:pt x="640613" y="141986"/>
                                </a:lnTo>
                                <a:lnTo>
                                  <a:pt x="640613" y="214706"/>
                                </a:lnTo>
                                <a:lnTo>
                                  <a:pt x="640600" y="248945"/>
                                </a:lnTo>
                                <a:lnTo>
                                  <a:pt x="638924" y="257251"/>
                                </a:lnTo>
                                <a:lnTo>
                                  <a:pt x="634352" y="264020"/>
                                </a:lnTo>
                                <a:lnTo>
                                  <a:pt x="627570" y="268592"/>
                                </a:lnTo>
                                <a:lnTo>
                                  <a:pt x="619277" y="270243"/>
                                </a:lnTo>
                                <a:lnTo>
                                  <a:pt x="585165" y="270243"/>
                                </a:lnTo>
                                <a:lnTo>
                                  <a:pt x="582409" y="269087"/>
                                </a:lnTo>
                                <a:lnTo>
                                  <a:pt x="421894" y="108546"/>
                                </a:lnTo>
                                <a:lnTo>
                                  <a:pt x="420928" y="105829"/>
                                </a:lnTo>
                                <a:lnTo>
                                  <a:pt x="420928" y="50634"/>
                                </a:lnTo>
                                <a:lnTo>
                                  <a:pt x="476554" y="50634"/>
                                </a:lnTo>
                                <a:lnTo>
                                  <a:pt x="479259" y="51765"/>
                                </a:lnTo>
                                <a:lnTo>
                                  <a:pt x="639495" y="211988"/>
                                </a:lnTo>
                                <a:lnTo>
                                  <a:pt x="640613" y="214706"/>
                                </a:lnTo>
                                <a:lnTo>
                                  <a:pt x="640613" y="141986"/>
                                </a:lnTo>
                                <a:lnTo>
                                  <a:pt x="549249" y="50634"/>
                                </a:lnTo>
                                <a:lnTo>
                                  <a:pt x="501091" y="2476"/>
                                </a:lnTo>
                                <a:lnTo>
                                  <a:pt x="495985" y="355"/>
                                </a:lnTo>
                                <a:lnTo>
                                  <a:pt x="390639" y="355"/>
                                </a:lnTo>
                                <a:lnTo>
                                  <a:pt x="383070" y="1879"/>
                                </a:lnTo>
                                <a:lnTo>
                                  <a:pt x="376669" y="6172"/>
                                </a:lnTo>
                                <a:lnTo>
                                  <a:pt x="372351" y="12560"/>
                                </a:lnTo>
                                <a:lnTo>
                                  <a:pt x="370751" y="20370"/>
                                </a:lnTo>
                                <a:lnTo>
                                  <a:pt x="370471" y="105829"/>
                                </a:lnTo>
                                <a:lnTo>
                                  <a:pt x="370395" y="125158"/>
                                </a:lnTo>
                                <a:lnTo>
                                  <a:pt x="372516" y="130314"/>
                                </a:lnTo>
                                <a:lnTo>
                                  <a:pt x="560565" y="318350"/>
                                </a:lnTo>
                                <a:lnTo>
                                  <a:pt x="565988" y="320598"/>
                                </a:lnTo>
                                <a:lnTo>
                                  <a:pt x="670712" y="320598"/>
                                </a:lnTo>
                                <a:lnTo>
                                  <a:pt x="678548" y="319024"/>
                                </a:lnTo>
                                <a:lnTo>
                                  <a:pt x="684961" y="314706"/>
                                </a:lnTo>
                                <a:lnTo>
                                  <a:pt x="689292" y="308305"/>
                                </a:lnTo>
                                <a:lnTo>
                                  <a:pt x="690880" y="300456"/>
                                </a:lnTo>
                                <a:lnTo>
                                  <a:pt x="690880" y="270243"/>
                                </a:lnTo>
                                <a:lnTo>
                                  <a:pt x="690892" y="195275"/>
                                </a:lnTo>
                                <a:close/>
                              </a:path>
                              <a:path w="691515" h="691515">
                                <a:moveTo>
                                  <a:pt x="691426" y="391045"/>
                                </a:moveTo>
                                <a:lnTo>
                                  <a:pt x="689851" y="383197"/>
                                </a:lnTo>
                                <a:lnTo>
                                  <a:pt x="685533" y="376783"/>
                                </a:lnTo>
                                <a:lnTo>
                                  <a:pt x="679132" y="372465"/>
                                </a:lnTo>
                                <a:lnTo>
                                  <a:pt x="671283" y="370878"/>
                                </a:lnTo>
                                <a:lnTo>
                                  <a:pt x="641108" y="370878"/>
                                </a:lnTo>
                                <a:lnTo>
                                  <a:pt x="641108" y="421157"/>
                                </a:lnTo>
                                <a:lnTo>
                                  <a:pt x="641108" y="476643"/>
                                </a:lnTo>
                                <a:lnTo>
                                  <a:pt x="639927" y="479348"/>
                                </a:lnTo>
                                <a:lnTo>
                                  <a:pt x="479386" y="639876"/>
                                </a:lnTo>
                                <a:lnTo>
                                  <a:pt x="476656" y="640994"/>
                                </a:lnTo>
                                <a:lnTo>
                                  <a:pt x="443242" y="640994"/>
                                </a:lnTo>
                                <a:lnTo>
                                  <a:pt x="434416" y="639191"/>
                                </a:lnTo>
                                <a:lnTo>
                                  <a:pt x="427659" y="634606"/>
                                </a:lnTo>
                                <a:lnTo>
                                  <a:pt x="423113" y="627837"/>
                                </a:lnTo>
                                <a:lnTo>
                                  <a:pt x="421449" y="619556"/>
                                </a:lnTo>
                                <a:lnTo>
                                  <a:pt x="421474" y="585190"/>
                                </a:lnTo>
                                <a:lnTo>
                                  <a:pt x="422592" y="582485"/>
                                </a:lnTo>
                                <a:lnTo>
                                  <a:pt x="582815" y="422275"/>
                                </a:lnTo>
                                <a:lnTo>
                                  <a:pt x="585495" y="421157"/>
                                </a:lnTo>
                                <a:lnTo>
                                  <a:pt x="641108" y="421157"/>
                                </a:lnTo>
                                <a:lnTo>
                                  <a:pt x="641108" y="370878"/>
                                </a:lnTo>
                                <a:lnTo>
                                  <a:pt x="566039" y="370878"/>
                                </a:lnTo>
                                <a:lnTo>
                                  <a:pt x="560971" y="372973"/>
                                </a:lnTo>
                                <a:lnTo>
                                  <a:pt x="373316" y="560654"/>
                                </a:lnTo>
                                <a:lnTo>
                                  <a:pt x="371182" y="565759"/>
                                </a:lnTo>
                                <a:lnTo>
                                  <a:pt x="371132" y="670852"/>
                                </a:lnTo>
                                <a:lnTo>
                                  <a:pt x="372694" y="678675"/>
                                </a:lnTo>
                                <a:lnTo>
                                  <a:pt x="376999" y="685076"/>
                                </a:lnTo>
                                <a:lnTo>
                                  <a:pt x="383387" y="689394"/>
                                </a:lnTo>
                                <a:lnTo>
                                  <a:pt x="391210" y="690994"/>
                                </a:lnTo>
                                <a:lnTo>
                                  <a:pt x="496023" y="691349"/>
                                </a:lnTo>
                                <a:lnTo>
                                  <a:pt x="501142" y="689241"/>
                                </a:lnTo>
                                <a:lnTo>
                                  <a:pt x="549440" y="640994"/>
                                </a:lnTo>
                                <a:lnTo>
                                  <a:pt x="686282" y="504075"/>
                                </a:lnTo>
                                <a:lnTo>
                                  <a:pt x="686892" y="502983"/>
                                </a:lnTo>
                                <a:lnTo>
                                  <a:pt x="687730" y="501726"/>
                                </a:lnTo>
                                <a:lnTo>
                                  <a:pt x="691388" y="421157"/>
                                </a:lnTo>
                                <a:lnTo>
                                  <a:pt x="691426" y="391045"/>
                                </a:lnTo>
                                <a:close/>
                              </a:path>
                            </a:pathLst>
                          </a:custGeom>
                          <a:solidFill>
                            <a:srgbClr val="939598"/>
                          </a:solidFill>
                        </wps:spPr>
                        <wps:bodyPr wrap="square" lIns="0" tIns="0" rIns="0" bIns="0" rtlCol="0">
                          <a:prstTxWarp prst="textNoShape">
                            <a:avLst/>
                          </a:prstTxWarp>
                          <a:noAutofit/>
                        </wps:bodyPr>
                      </wps:wsp>
                    </wpg:wgp>
                  </a:graphicData>
                </a:graphic>
              </wp:anchor>
            </w:drawing>
          </mc:Choice>
          <mc:Fallback>
            <w:pict>
              <v:group style="position:absolute;margin-left:151.068207pt;margin-top:4.739500pt;width:54.45pt;height:54.45pt;mso-position-horizontal-relative:page;mso-position-vertical-relative:paragraph;z-index:15730688" id="docshapegroup22" coordorigin="3021,95" coordsize="1089,1089">
                <v:shape style="position:absolute;left:3309;top:383;width:513;height:513" id="docshape23" coordorigin="3309,383" coordsize="513,513" path="m3565,383l3553,385,3543,392,3318,617,3311,627,3309,639,3311,651,3318,662,3543,886,3553,893,3565,895,3577,893,3588,886,3690,783,3565,783,3553,781,3543,774,3431,662,3424,651,3421,639,3424,627,3431,617,3543,505,3553,498,3565,495,3690,495,3588,392,3577,385,3565,383xm3690,495l3565,495,3577,498,3588,505,3700,617,3707,627,3709,639,3707,651,3700,662,3588,774,3577,781,3565,783,3690,783,3812,662,3819,651,3821,639,3819,627,3812,617,3690,495xe" filled="true" fillcolor="#902635" stroked="false">
                  <v:path arrowok="t"/>
                  <v:fill type="solid"/>
                </v:shape>
                <v:shape style="position:absolute;left:3021;top:94;width:1089;height:1089" id="docshape24" coordorigin="3021,95" coordsize="1089,1089" path="m3526,986l3523,978,3517,972,3447,902,3447,1018,3447,1104,3362,1104,3354,1100,3104,851,3101,842,3101,791,3104,778,3111,768,3121,760,3134,758,3186,758,3194,761,3443,1010,3447,1018,3447,902,3303,758,3227,682,3219,679,3053,679,3041,681,3031,688,3024,698,3021,710,3021,875,3025,883,3321,1179,3329,1183,3494,1183,3507,1180,3517,1174,3524,1164,3526,1151,3526,1104,3526,986xm3526,127l3524,115,3517,104,3507,97,3495,95,3447,95,3447,208,3447,262,3445,266,3193,519,3189,520,3101,520,3101,433,3103,429,3356,176,3360,174,3413,174,3427,177,3437,184,3444,195,3447,208,3447,95,3329,95,3321,98,3031,388,3030,390,3029,391,3028,393,3026,397,3023,404,3022,408,3022,409,3022,411,3022,568,3024,580,3031,590,3041,597,3054,599,3219,599,3227,596,3303,520,3523,301,3526,293,3526,174,3526,127xm4109,402l4106,394,4030,318,4030,433,4030,487,4028,500,4020,511,4010,518,3997,520,3943,520,3939,519,3686,266,3684,261,3684,175,3772,175,3776,176,4028,429,4030,433,4030,318,3886,175,3810,99,3802,95,3637,95,3625,98,3615,105,3608,115,3605,127,3605,261,3605,292,3608,300,3904,596,3913,600,4078,600,4090,597,4100,590,4107,580,4109,568,4109,520,4109,402xm4110,711l4108,698,4101,688,4091,681,4079,679,4031,679,4031,758,4031,845,4029,850,3776,1102,3772,1104,3719,1104,3705,1101,3695,1094,3688,1084,3685,1070,3685,1016,3687,1012,3939,760,3943,758,4031,758,4031,679,3913,679,3905,682,3609,978,3606,986,3606,1151,3608,1164,3615,1174,3625,1180,3637,1183,3803,1184,3811,1180,3887,1104,4102,889,4103,887,4104,885,4106,881,4109,875,4110,870,4110,869,4110,850,4110,758,4110,711xe" filled="true" fillcolor="#939598" stroked="false">
                  <v:path arrowok="t"/>
                  <v:fill type="solid"/>
                </v:shape>
                <w10:wrap type="none"/>
              </v:group>
            </w:pict>
          </mc:Fallback>
        </mc:AlternateContent>
      </w:r>
      <w:r>
        <w:rPr>
          <w:color w:val="231F20"/>
        </w:rPr>
        <w:t>XIAMEN</w:t>
      </w:r>
      <w:r>
        <w:rPr>
          <w:color w:val="231F20"/>
          <w:spacing w:val="46"/>
        </w:rPr>
        <w:t> </w:t>
      </w:r>
      <w:r>
        <w:rPr>
          <w:color w:val="231F20"/>
        </w:rPr>
        <w:t>JIHONG</w:t>
      </w:r>
      <w:r>
        <w:rPr>
          <w:color w:val="231F20"/>
          <w:spacing w:val="47"/>
        </w:rPr>
        <w:t> </w:t>
      </w:r>
      <w:r>
        <w:rPr>
          <w:color w:val="231F20"/>
        </w:rPr>
        <w:t>CO.,</w:t>
      </w:r>
      <w:r>
        <w:rPr>
          <w:color w:val="231F20"/>
          <w:spacing w:val="47"/>
        </w:rPr>
        <w:t> </w:t>
      </w:r>
      <w:r>
        <w:rPr>
          <w:color w:val="231F20"/>
          <w:spacing w:val="-5"/>
        </w:rPr>
        <w:t>LTD</w:t>
      </w:r>
    </w:p>
    <w:p>
      <w:pPr>
        <w:pStyle w:val="Heading2"/>
      </w:pPr>
      <w:r>
        <w:rPr>
          <w:color w:val="231F20"/>
          <w:spacing w:val="50"/>
        </w:rPr>
        <w:t>廈門吉宏科技股份有限公司</w:t>
      </w:r>
    </w:p>
    <w:p>
      <w:pPr>
        <w:spacing w:before="38"/>
        <w:ind w:left="685" w:right="681" w:firstLine="0"/>
        <w:jc w:val="center"/>
        <w:rPr>
          <w:i/>
          <w:sz w:val="18"/>
        </w:rPr>
      </w:pPr>
      <w:r>
        <w:rPr>
          <w:i/>
          <w:color w:val="231F20"/>
          <w:sz w:val="18"/>
        </w:rPr>
        <w:t>(a</w:t>
      </w:r>
      <w:r>
        <w:rPr>
          <w:i/>
          <w:color w:val="231F20"/>
          <w:spacing w:val="24"/>
          <w:sz w:val="18"/>
        </w:rPr>
        <w:t> </w:t>
      </w:r>
      <w:r>
        <w:rPr>
          <w:i/>
          <w:color w:val="231F20"/>
          <w:sz w:val="18"/>
        </w:rPr>
        <w:t>joint</w:t>
      </w:r>
      <w:r>
        <w:rPr>
          <w:i/>
          <w:color w:val="231F20"/>
          <w:spacing w:val="25"/>
          <w:sz w:val="18"/>
        </w:rPr>
        <w:t> </w:t>
      </w:r>
      <w:r>
        <w:rPr>
          <w:i/>
          <w:color w:val="231F20"/>
          <w:sz w:val="18"/>
        </w:rPr>
        <w:t>stock</w:t>
      </w:r>
      <w:r>
        <w:rPr>
          <w:i/>
          <w:color w:val="231F20"/>
          <w:spacing w:val="24"/>
          <w:sz w:val="18"/>
        </w:rPr>
        <w:t> </w:t>
      </w:r>
      <w:r>
        <w:rPr>
          <w:i/>
          <w:color w:val="231F20"/>
          <w:sz w:val="18"/>
        </w:rPr>
        <w:t>company</w:t>
      </w:r>
      <w:r>
        <w:rPr>
          <w:i/>
          <w:color w:val="231F20"/>
          <w:spacing w:val="25"/>
          <w:sz w:val="18"/>
        </w:rPr>
        <w:t> </w:t>
      </w:r>
      <w:r>
        <w:rPr>
          <w:i/>
          <w:color w:val="231F20"/>
          <w:sz w:val="18"/>
        </w:rPr>
        <w:t>incorporated</w:t>
      </w:r>
      <w:r>
        <w:rPr>
          <w:i/>
          <w:color w:val="231F20"/>
          <w:spacing w:val="25"/>
          <w:sz w:val="18"/>
        </w:rPr>
        <w:t> </w:t>
      </w:r>
      <w:r>
        <w:rPr>
          <w:i/>
          <w:color w:val="231F20"/>
          <w:sz w:val="18"/>
        </w:rPr>
        <w:t>in</w:t>
      </w:r>
      <w:r>
        <w:rPr>
          <w:i/>
          <w:color w:val="231F20"/>
          <w:spacing w:val="24"/>
          <w:sz w:val="18"/>
        </w:rPr>
        <w:t> </w:t>
      </w:r>
      <w:r>
        <w:rPr>
          <w:i/>
          <w:color w:val="231F20"/>
          <w:sz w:val="18"/>
        </w:rPr>
        <w:t>the</w:t>
      </w:r>
      <w:r>
        <w:rPr>
          <w:i/>
          <w:color w:val="231F20"/>
          <w:spacing w:val="25"/>
          <w:sz w:val="18"/>
        </w:rPr>
        <w:t> </w:t>
      </w:r>
      <w:r>
        <w:rPr>
          <w:i/>
          <w:color w:val="231F20"/>
          <w:sz w:val="18"/>
        </w:rPr>
        <w:t>People’s</w:t>
      </w:r>
      <w:r>
        <w:rPr>
          <w:i/>
          <w:color w:val="231F20"/>
          <w:spacing w:val="25"/>
          <w:sz w:val="18"/>
        </w:rPr>
        <w:t> </w:t>
      </w:r>
      <w:r>
        <w:rPr>
          <w:i/>
          <w:color w:val="231F20"/>
          <w:sz w:val="18"/>
        </w:rPr>
        <w:t>Republic</w:t>
      </w:r>
      <w:r>
        <w:rPr>
          <w:i/>
          <w:color w:val="231F20"/>
          <w:spacing w:val="24"/>
          <w:sz w:val="18"/>
        </w:rPr>
        <w:t> </w:t>
      </w:r>
      <w:r>
        <w:rPr>
          <w:i/>
          <w:color w:val="231F20"/>
          <w:sz w:val="18"/>
        </w:rPr>
        <w:t>of</w:t>
      </w:r>
      <w:r>
        <w:rPr>
          <w:i/>
          <w:color w:val="231F20"/>
          <w:spacing w:val="25"/>
          <w:sz w:val="18"/>
        </w:rPr>
        <w:t> </w:t>
      </w:r>
      <w:r>
        <w:rPr>
          <w:i/>
          <w:color w:val="231F20"/>
          <w:sz w:val="18"/>
        </w:rPr>
        <w:t>China</w:t>
      </w:r>
      <w:r>
        <w:rPr>
          <w:i/>
          <w:color w:val="231F20"/>
          <w:spacing w:val="25"/>
          <w:sz w:val="18"/>
        </w:rPr>
        <w:t> </w:t>
      </w:r>
      <w:r>
        <w:rPr>
          <w:i/>
          <w:color w:val="231F20"/>
          <w:sz w:val="18"/>
        </w:rPr>
        <w:t>with</w:t>
      </w:r>
      <w:r>
        <w:rPr>
          <w:i/>
          <w:color w:val="231F20"/>
          <w:spacing w:val="24"/>
          <w:sz w:val="18"/>
        </w:rPr>
        <w:t> </w:t>
      </w:r>
      <w:r>
        <w:rPr>
          <w:i/>
          <w:color w:val="231F20"/>
          <w:sz w:val="18"/>
        </w:rPr>
        <w:t>limited</w:t>
      </w:r>
      <w:r>
        <w:rPr>
          <w:i/>
          <w:color w:val="231F20"/>
          <w:spacing w:val="25"/>
          <w:sz w:val="18"/>
        </w:rPr>
        <w:t> </w:t>
      </w:r>
      <w:r>
        <w:rPr>
          <w:i/>
          <w:color w:val="231F20"/>
          <w:spacing w:val="-2"/>
          <w:sz w:val="18"/>
        </w:rPr>
        <w:t>liability)</w:t>
      </w:r>
    </w:p>
    <w:p>
      <w:pPr>
        <w:spacing w:before="57"/>
        <w:ind w:left="687" w:right="681" w:firstLine="0"/>
        <w:jc w:val="center"/>
        <w:rPr>
          <w:b/>
          <w:sz w:val="24"/>
        </w:rPr>
      </w:pPr>
      <w:r>
        <w:rPr>
          <w:b/>
          <w:color w:val="231F20"/>
          <w:sz w:val="24"/>
        </w:rPr>
        <w:t>(Stock</w:t>
      </w:r>
      <w:r>
        <w:rPr>
          <w:b/>
          <w:color w:val="231F20"/>
          <w:spacing w:val="32"/>
          <w:sz w:val="24"/>
        </w:rPr>
        <w:t> </w:t>
      </w:r>
      <w:r>
        <w:rPr>
          <w:b/>
          <w:color w:val="231F20"/>
          <w:sz w:val="24"/>
        </w:rPr>
        <w:t>Code:</w:t>
      </w:r>
      <w:r>
        <w:rPr>
          <w:b/>
          <w:color w:val="231F20"/>
          <w:spacing w:val="32"/>
          <w:sz w:val="24"/>
        </w:rPr>
        <w:t> </w:t>
      </w:r>
      <w:r>
        <w:rPr>
          <w:b/>
          <w:color w:val="231F20"/>
          <w:spacing w:val="-2"/>
          <w:sz w:val="24"/>
        </w:rPr>
        <w:t>2603)</w:t>
      </w:r>
    </w:p>
    <w:p>
      <w:pPr>
        <w:pStyle w:val="BodyText"/>
        <w:spacing w:before="48"/>
        <w:rPr>
          <w:b/>
          <w:sz w:val="24"/>
        </w:rPr>
      </w:pPr>
    </w:p>
    <w:p>
      <w:pPr>
        <w:spacing w:before="0"/>
        <w:ind w:left="687" w:right="681" w:firstLine="0"/>
        <w:jc w:val="center"/>
        <w:rPr>
          <w:b/>
          <w:sz w:val="24"/>
        </w:rPr>
      </w:pPr>
      <w:r>
        <w:rPr>
          <w:b/>
          <w:color w:val="231F20"/>
          <w:sz w:val="24"/>
        </w:rPr>
        <w:t>NOTICE</w:t>
      </w:r>
      <w:r>
        <w:rPr>
          <w:b/>
          <w:color w:val="231F20"/>
          <w:spacing w:val="36"/>
          <w:sz w:val="24"/>
        </w:rPr>
        <w:t> </w:t>
      </w:r>
      <w:r>
        <w:rPr>
          <w:b/>
          <w:color w:val="231F20"/>
          <w:sz w:val="24"/>
        </w:rPr>
        <w:t>OF</w:t>
      </w:r>
      <w:r>
        <w:rPr>
          <w:b/>
          <w:color w:val="231F20"/>
          <w:spacing w:val="37"/>
          <w:sz w:val="24"/>
        </w:rPr>
        <w:t> </w:t>
      </w:r>
      <w:r>
        <w:rPr>
          <w:b/>
          <w:color w:val="231F20"/>
          <w:sz w:val="24"/>
        </w:rPr>
        <w:t>2025</w:t>
      </w:r>
      <w:r>
        <w:rPr>
          <w:b/>
          <w:color w:val="231F20"/>
          <w:spacing w:val="37"/>
          <w:sz w:val="24"/>
        </w:rPr>
        <w:t> </w:t>
      </w:r>
      <w:r>
        <w:rPr>
          <w:b/>
          <w:color w:val="231F20"/>
          <w:sz w:val="24"/>
        </w:rPr>
        <w:t>SECOND</w:t>
      </w:r>
      <w:r>
        <w:rPr>
          <w:b/>
          <w:color w:val="231F20"/>
          <w:spacing w:val="37"/>
          <w:sz w:val="24"/>
        </w:rPr>
        <w:t> </w:t>
      </w:r>
      <w:r>
        <w:rPr>
          <w:b/>
          <w:color w:val="231F20"/>
          <w:sz w:val="24"/>
        </w:rPr>
        <w:t>EXTRAORDINARY</w:t>
      </w:r>
      <w:r>
        <w:rPr>
          <w:b/>
          <w:color w:val="231F20"/>
          <w:spacing w:val="38"/>
          <w:sz w:val="24"/>
        </w:rPr>
        <w:t> </w:t>
      </w:r>
      <w:r>
        <w:rPr>
          <w:b/>
          <w:color w:val="231F20"/>
          <w:sz w:val="24"/>
        </w:rPr>
        <w:t>GENERAL</w:t>
      </w:r>
      <w:r>
        <w:rPr>
          <w:b/>
          <w:color w:val="231F20"/>
          <w:spacing w:val="37"/>
          <w:sz w:val="24"/>
        </w:rPr>
        <w:t> </w:t>
      </w:r>
      <w:r>
        <w:rPr>
          <w:b/>
          <w:color w:val="231F20"/>
          <w:spacing w:val="-2"/>
          <w:sz w:val="24"/>
        </w:rPr>
        <w:t>MEETING</w:t>
      </w:r>
    </w:p>
    <w:p>
      <w:pPr>
        <w:pStyle w:val="BodyText"/>
        <w:spacing w:before="8"/>
        <w:rPr>
          <w:b/>
          <w:sz w:val="24"/>
        </w:rPr>
      </w:pPr>
    </w:p>
    <w:p>
      <w:pPr>
        <w:pStyle w:val="BodyText"/>
        <w:spacing w:line="280" w:lineRule="exact"/>
        <w:ind w:left="142" w:right="133" w:firstLine="567"/>
        <w:jc w:val="both"/>
      </w:pPr>
      <w:r>
        <w:rPr>
          <w:color w:val="231F20"/>
        </w:rPr>
        <w:t>NOTICE</w:t>
      </w:r>
      <w:r>
        <w:rPr>
          <w:color w:val="231F20"/>
          <w:spacing w:val="40"/>
        </w:rPr>
        <w:t> </w:t>
      </w:r>
      <w:r>
        <w:rPr>
          <w:color w:val="231F20"/>
        </w:rPr>
        <w:t>IS</w:t>
      </w:r>
      <w:r>
        <w:rPr>
          <w:color w:val="231F20"/>
          <w:spacing w:val="40"/>
        </w:rPr>
        <w:t> </w:t>
      </w:r>
      <w:r>
        <w:rPr>
          <w:color w:val="231F20"/>
        </w:rPr>
        <w:t>HEREBY</w:t>
      </w:r>
      <w:r>
        <w:rPr>
          <w:color w:val="231F20"/>
          <w:spacing w:val="40"/>
        </w:rPr>
        <w:t> </w:t>
      </w:r>
      <w:r>
        <w:rPr>
          <w:color w:val="231F20"/>
        </w:rPr>
        <w:t>GIVEN</w:t>
      </w:r>
      <w:r>
        <w:rPr>
          <w:color w:val="231F20"/>
          <w:spacing w:val="40"/>
        </w:rPr>
        <w:t> </w:t>
      </w:r>
      <w:r>
        <w:rPr>
          <w:color w:val="231F20"/>
        </w:rPr>
        <w:t>THAT</w:t>
      </w:r>
      <w:r>
        <w:rPr>
          <w:color w:val="231F20"/>
          <w:spacing w:val="40"/>
        </w:rPr>
        <w:t> </w:t>
      </w:r>
      <w:r>
        <w:rPr>
          <w:color w:val="231F20"/>
        </w:rPr>
        <w:t>the</w:t>
      </w:r>
      <w:r>
        <w:rPr>
          <w:color w:val="231F20"/>
          <w:spacing w:val="40"/>
        </w:rPr>
        <w:t> </w:t>
      </w:r>
      <w:r>
        <w:rPr>
          <w:color w:val="231F20"/>
        </w:rPr>
        <w:t>2025</w:t>
      </w:r>
      <w:r>
        <w:rPr>
          <w:color w:val="231F20"/>
          <w:spacing w:val="40"/>
        </w:rPr>
        <w:t> </w:t>
      </w:r>
      <w:r>
        <w:rPr>
          <w:color w:val="231F20"/>
        </w:rPr>
        <w:t>second</w:t>
      </w:r>
      <w:r>
        <w:rPr>
          <w:color w:val="231F20"/>
          <w:spacing w:val="40"/>
        </w:rPr>
        <w:t> </w:t>
      </w:r>
      <w:r>
        <w:rPr>
          <w:color w:val="231F20"/>
        </w:rPr>
        <w:t>extraordinary</w:t>
      </w:r>
      <w:r>
        <w:rPr>
          <w:color w:val="231F20"/>
          <w:spacing w:val="40"/>
        </w:rPr>
        <w:t> </w:t>
      </w:r>
      <w:r>
        <w:rPr>
          <w:color w:val="231F20"/>
        </w:rPr>
        <w:t>general</w:t>
      </w:r>
      <w:r>
        <w:rPr>
          <w:color w:val="231F20"/>
          <w:spacing w:val="40"/>
        </w:rPr>
        <w:t> </w:t>
      </w:r>
      <w:r>
        <w:rPr>
          <w:color w:val="231F20"/>
        </w:rPr>
        <w:t>meeting</w:t>
      </w:r>
      <w:r>
        <w:rPr>
          <w:color w:val="231F20"/>
          <w:spacing w:val="40"/>
        </w:rPr>
        <w:t> </w:t>
      </w:r>
      <w:r>
        <w:rPr>
          <w:color w:val="231F20"/>
        </w:rPr>
        <w:t>(the</w:t>
      </w:r>
      <w:r>
        <w:rPr>
          <w:color w:val="231F20"/>
          <w:spacing w:val="20"/>
        </w:rPr>
        <w:t> “</w:t>
      </w:r>
      <w:r>
        <w:rPr>
          <w:b/>
          <w:color w:val="231F20"/>
        </w:rPr>
        <w:t>2025 Second</w:t>
      </w:r>
      <w:r>
        <w:rPr>
          <w:b/>
          <w:color w:val="231F20"/>
          <w:spacing w:val="40"/>
        </w:rPr>
        <w:t> </w:t>
      </w:r>
      <w:r>
        <w:rPr>
          <w:b/>
          <w:color w:val="231F20"/>
        </w:rPr>
        <w:t>EGM</w:t>
      </w:r>
      <w:r>
        <w:rPr>
          <w:color w:val="231F20"/>
          <w:spacing w:val="13"/>
        </w:rPr>
        <w:t>”) </w:t>
      </w:r>
      <w:r>
        <w:rPr>
          <w:color w:val="231F20"/>
        </w:rPr>
        <w:t>of</w:t>
      </w:r>
      <w:r>
        <w:rPr>
          <w:color w:val="231F20"/>
          <w:spacing w:val="40"/>
        </w:rPr>
        <w:t> </w:t>
      </w:r>
      <w:r>
        <w:rPr>
          <w:color w:val="231F20"/>
        </w:rPr>
        <w:t>Xiamen</w:t>
      </w:r>
      <w:r>
        <w:rPr>
          <w:color w:val="231F20"/>
          <w:spacing w:val="40"/>
        </w:rPr>
        <w:t> </w:t>
      </w:r>
      <w:r>
        <w:rPr>
          <w:color w:val="231F20"/>
        </w:rPr>
        <w:t>Jihong</w:t>
      </w:r>
      <w:r>
        <w:rPr>
          <w:color w:val="231F20"/>
          <w:spacing w:val="40"/>
        </w:rPr>
        <w:t> </w:t>
      </w:r>
      <w:r>
        <w:rPr>
          <w:color w:val="231F20"/>
        </w:rPr>
        <w:t>Co.</w:t>
      </w:r>
      <w:r>
        <w:rPr>
          <w:color w:val="231F20"/>
          <w:spacing w:val="20"/>
        </w:rPr>
        <w:t>, </w:t>
      </w:r>
      <w:r>
        <w:rPr>
          <w:color w:val="231F20"/>
        </w:rPr>
        <w:t>Ltd</w:t>
      </w:r>
      <w:r>
        <w:rPr>
          <w:color w:val="231F20"/>
          <w:spacing w:val="20"/>
        </w:rPr>
        <w:t> (</w:t>
      </w:r>
      <w:r>
        <w:rPr>
          <w:rFonts w:ascii="新細明體" w:hAnsi="新細明體" w:eastAsia="新細明體"/>
          <w:color w:val="231F20"/>
        </w:rPr>
        <w:t>廈門吉宏科技股份有限公司</w:t>
      </w:r>
      <w:r>
        <w:rPr>
          <w:color w:val="231F20"/>
          <w:spacing w:val="20"/>
        </w:rPr>
        <w:t>) </w:t>
      </w:r>
      <w:r>
        <w:rPr>
          <w:color w:val="231F20"/>
        </w:rPr>
        <w:t>(the</w:t>
      </w:r>
      <w:r>
        <w:rPr>
          <w:color w:val="231F20"/>
          <w:spacing w:val="20"/>
        </w:rPr>
        <w:t> “</w:t>
      </w:r>
      <w:r>
        <w:rPr>
          <w:b/>
          <w:color w:val="231F20"/>
        </w:rPr>
        <w:t>Company</w:t>
      </w:r>
      <w:r>
        <w:rPr>
          <w:color w:val="231F20"/>
          <w:spacing w:val="13"/>
        </w:rPr>
        <w:t>”) </w:t>
      </w:r>
      <w:r>
        <w:rPr>
          <w:color w:val="231F20"/>
        </w:rPr>
        <w:t>will</w:t>
      </w:r>
      <w:r>
        <w:rPr>
          <w:color w:val="231F20"/>
          <w:spacing w:val="40"/>
        </w:rPr>
        <w:t> </w:t>
      </w:r>
      <w:r>
        <w:rPr>
          <w:color w:val="231F20"/>
        </w:rPr>
        <w:t>be</w:t>
      </w:r>
      <w:r>
        <w:rPr>
          <w:color w:val="231F20"/>
          <w:spacing w:val="40"/>
        </w:rPr>
        <w:t> </w:t>
      </w:r>
      <w:r>
        <w:rPr>
          <w:color w:val="231F20"/>
        </w:rPr>
        <w:t>held at 38th Floor, Yuzhou Plaza, No. 55, Hubin South Road, Siming District, Xiamen, the PRC at 2:30 p.m. on Monday</w:t>
      </w:r>
      <w:r>
        <w:rPr>
          <w:color w:val="231F20"/>
          <w:spacing w:val="20"/>
        </w:rPr>
        <w:t>, </w:t>
      </w:r>
      <w:r>
        <w:rPr>
          <w:color w:val="231F20"/>
        </w:rPr>
        <w:t>September</w:t>
      </w:r>
      <w:r>
        <w:rPr>
          <w:color w:val="231F20"/>
          <w:spacing w:val="40"/>
        </w:rPr>
        <w:t> </w:t>
      </w:r>
      <w:r>
        <w:rPr>
          <w:color w:val="231F20"/>
        </w:rPr>
        <w:t>8</w:t>
      </w:r>
      <w:r>
        <w:rPr>
          <w:color w:val="231F20"/>
          <w:spacing w:val="20"/>
        </w:rPr>
        <w:t>, </w:t>
      </w:r>
      <w:r>
        <w:rPr>
          <w:color w:val="231F20"/>
        </w:rPr>
        <w:t>2025</w:t>
      </w:r>
      <w:r>
        <w:rPr>
          <w:color w:val="231F20"/>
          <w:spacing w:val="40"/>
        </w:rPr>
        <w:t> </w:t>
      </w:r>
      <w:r>
        <w:rPr>
          <w:color w:val="231F20"/>
        </w:rPr>
        <w:t>to</w:t>
      </w:r>
      <w:r>
        <w:rPr>
          <w:color w:val="231F20"/>
          <w:spacing w:val="40"/>
        </w:rPr>
        <w:t> </w:t>
      </w:r>
      <w:r>
        <w:rPr>
          <w:color w:val="231F20"/>
        </w:rPr>
        <w:t>consider</w:t>
      </w:r>
      <w:r>
        <w:rPr>
          <w:color w:val="231F20"/>
          <w:spacing w:val="40"/>
        </w:rPr>
        <w:t> </w:t>
      </w:r>
      <w:r>
        <w:rPr>
          <w:color w:val="231F20"/>
        </w:rPr>
        <w:t>and</w:t>
      </w:r>
      <w:r>
        <w:rPr>
          <w:color w:val="231F20"/>
          <w:spacing w:val="20"/>
        </w:rPr>
        <w:t>, </w:t>
      </w:r>
      <w:r>
        <w:rPr>
          <w:color w:val="231F20"/>
        </w:rPr>
        <w:t>if</w:t>
      </w:r>
      <w:r>
        <w:rPr>
          <w:color w:val="231F20"/>
          <w:spacing w:val="40"/>
        </w:rPr>
        <w:t> </w:t>
      </w:r>
      <w:r>
        <w:rPr>
          <w:color w:val="231F20"/>
        </w:rPr>
        <w:t>thought</w:t>
      </w:r>
      <w:r>
        <w:rPr>
          <w:color w:val="231F20"/>
          <w:spacing w:val="40"/>
        </w:rPr>
        <w:t> </w:t>
      </w:r>
      <w:r>
        <w:rPr>
          <w:color w:val="231F20"/>
        </w:rPr>
        <w:t>fit</w:t>
      </w:r>
      <w:r>
        <w:rPr>
          <w:color w:val="231F20"/>
          <w:spacing w:val="20"/>
        </w:rPr>
        <w:t>, </w:t>
      </w:r>
      <w:r>
        <w:rPr>
          <w:color w:val="231F20"/>
        </w:rPr>
        <w:t>approve</w:t>
      </w:r>
      <w:r>
        <w:rPr>
          <w:color w:val="231F20"/>
          <w:spacing w:val="40"/>
        </w:rPr>
        <w:t> </w:t>
      </w:r>
      <w:r>
        <w:rPr>
          <w:color w:val="231F20"/>
        </w:rPr>
        <w:t>the</w:t>
      </w:r>
      <w:r>
        <w:rPr>
          <w:color w:val="231F20"/>
          <w:spacing w:val="40"/>
        </w:rPr>
        <w:t> </w:t>
      </w:r>
      <w:r>
        <w:rPr>
          <w:color w:val="231F20"/>
        </w:rPr>
        <w:t>following</w:t>
      </w:r>
      <w:r>
        <w:rPr>
          <w:color w:val="231F20"/>
          <w:spacing w:val="40"/>
        </w:rPr>
        <w:t> </w:t>
      </w:r>
      <w:r>
        <w:rPr>
          <w:color w:val="231F20"/>
        </w:rPr>
        <w:t>resolutions.</w:t>
      </w:r>
    </w:p>
    <w:p>
      <w:pPr>
        <w:pStyle w:val="BodyText"/>
        <w:spacing w:before="87"/>
      </w:pPr>
    </w:p>
    <w:p>
      <w:pPr>
        <w:pStyle w:val="BodyText"/>
        <w:spacing w:line="292" w:lineRule="auto"/>
        <w:ind w:left="142" w:right="136" w:firstLine="567"/>
        <w:jc w:val="both"/>
      </w:pPr>
      <w:r>
        <w:rPr>
          <w:color w:val="231F20"/>
        </w:rPr>
        <w:t>Unless otherwise defined, capitalized terms used in this notice shall have the same meanings as those defined</w:t>
      </w:r>
      <w:r>
        <w:rPr>
          <w:color w:val="231F20"/>
          <w:spacing w:val="40"/>
        </w:rPr>
        <w:t> </w:t>
      </w:r>
      <w:r>
        <w:rPr>
          <w:color w:val="231F20"/>
        </w:rPr>
        <w:t>in</w:t>
      </w:r>
      <w:r>
        <w:rPr>
          <w:color w:val="231F20"/>
          <w:spacing w:val="40"/>
        </w:rPr>
        <w:t> </w:t>
      </w:r>
      <w:r>
        <w:rPr>
          <w:color w:val="231F20"/>
        </w:rPr>
        <w:t>the</w:t>
      </w:r>
      <w:r>
        <w:rPr>
          <w:color w:val="231F20"/>
          <w:spacing w:val="40"/>
        </w:rPr>
        <w:t> </w:t>
      </w:r>
      <w:r>
        <w:rPr>
          <w:color w:val="231F20"/>
        </w:rPr>
        <w:t>circular</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Company</w:t>
      </w:r>
      <w:r>
        <w:rPr>
          <w:color w:val="231F20"/>
          <w:spacing w:val="40"/>
        </w:rPr>
        <w:t> </w:t>
      </w:r>
      <w:r>
        <w:rPr>
          <w:color w:val="231F20"/>
        </w:rPr>
        <w:t>dated</w:t>
      </w:r>
      <w:r>
        <w:rPr>
          <w:color w:val="231F20"/>
          <w:spacing w:val="40"/>
        </w:rPr>
        <w:t> </w:t>
      </w:r>
      <w:r>
        <w:rPr>
          <w:color w:val="231F20"/>
        </w:rPr>
        <w:t>August</w:t>
      </w:r>
      <w:r>
        <w:rPr>
          <w:color w:val="231F20"/>
          <w:spacing w:val="40"/>
        </w:rPr>
        <w:t> </w:t>
      </w:r>
      <w:r>
        <w:rPr>
          <w:color w:val="231F20"/>
        </w:rPr>
        <w:t>25,</w:t>
      </w:r>
      <w:r>
        <w:rPr>
          <w:color w:val="231F20"/>
          <w:spacing w:val="40"/>
        </w:rPr>
        <w:t> </w:t>
      </w:r>
      <w:r>
        <w:rPr>
          <w:color w:val="231F20"/>
        </w:rPr>
        <w:t>2025</w:t>
      </w:r>
      <w:r>
        <w:rPr>
          <w:color w:val="231F20"/>
          <w:spacing w:val="40"/>
        </w:rPr>
        <w:t> </w:t>
      </w:r>
      <w:r>
        <w:rPr>
          <w:color w:val="231F20"/>
        </w:rPr>
        <w:t>(the</w:t>
      </w:r>
      <w:r>
        <w:rPr>
          <w:color w:val="231F20"/>
          <w:spacing w:val="40"/>
        </w:rPr>
        <w:t> </w:t>
      </w:r>
      <w:r>
        <w:rPr>
          <w:color w:val="231F20"/>
        </w:rPr>
        <w:t>“</w:t>
      </w:r>
      <w:r>
        <w:rPr>
          <w:b/>
          <w:color w:val="231F20"/>
        </w:rPr>
        <w:t>Circular</w:t>
      </w:r>
      <w:r>
        <w:rPr>
          <w:color w:val="231F20"/>
        </w:rPr>
        <w:t>”).</w:t>
      </w:r>
    </w:p>
    <w:p>
      <w:pPr>
        <w:pStyle w:val="BodyText"/>
        <w:spacing w:before="49"/>
      </w:pPr>
    </w:p>
    <w:p>
      <w:pPr>
        <w:pStyle w:val="Heading3"/>
        <w:ind w:left="685" w:right="681" w:firstLine="0"/>
        <w:jc w:val="center"/>
      </w:pPr>
      <w:r>
        <w:rPr>
          <w:color w:val="231F20"/>
        </w:rPr>
        <w:t>ORDINARY</w:t>
      </w:r>
      <w:r>
        <w:rPr>
          <w:color w:val="231F20"/>
          <w:spacing w:val="34"/>
        </w:rPr>
        <w:t> </w:t>
      </w:r>
      <w:r>
        <w:rPr>
          <w:color w:val="231F20"/>
          <w:spacing w:val="-2"/>
        </w:rPr>
        <w:t>RESOLUTIONS</w:t>
      </w:r>
    </w:p>
    <w:p>
      <w:pPr>
        <w:pStyle w:val="BodyText"/>
        <w:spacing w:before="100"/>
        <w:rPr>
          <w:b/>
        </w:rPr>
      </w:pPr>
    </w:p>
    <w:p>
      <w:pPr>
        <w:pStyle w:val="ListParagraph"/>
        <w:numPr>
          <w:ilvl w:val="1"/>
          <w:numId w:val="10"/>
        </w:numPr>
        <w:tabs>
          <w:tab w:pos="1275" w:val="left" w:leader="none"/>
        </w:tabs>
        <w:spacing w:line="240" w:lineRule="auto" w:before="0" w:after="0"/>
        <w:ind w:left="1275" w:right="0" w:hanging="566"/>
        <w:jc w:val="left"/>
        <w:rPr>
          <w:color w:val="231F20"/>
          <w:sz w:val="20"/>
        </w:rPr>
      </w:pPr>
      <w:r>
        <w:rPr>
          <w:color w:val="231F20"/>
          <w:sz w:val="20"/>
        </w:rPr>
        <w:t>To</w:t>
      </w:r>
      <w:r>
        <w:rPr>
          <w:color w:val="231F20"/>
          <w:spacing w:val="29"/>
          <w:sz w:val="20"/>
        </w:rPr>
        <w:t> </w:t>
      </w:r>
      <w:r>
        <w:rPr>
          <w:color w:val="231F20"/>
          <w:sz w:val="20"/>
        </w:rPr>
        <w:t>consider</w:t>
      </w:r>
      <w:r>
        <w:rPr>
          <w:color w:val="231F20"/>
          <w:spacing w:val="30"/>
          <w:sz w:val="20"/>
        </w:rPr>
        <w:t> </w:t>
      </w:r>
      <w:r>
        <w:rPr>
          <w:color w:val="231F20"/>
          <w:sz w:val="20"/>
        </w:rPr>
        <w:t>and</w:t>
      </w:r>
      <w:r>
        <w:rPr>
          <w:color w:val="231F20"/>
          <w:spacing w:val="29"/>
          <w:sz w:val="20"/>
        </w:rPr>
        <w:t> </w:t>
      </w:r>
      <w:r>
        <w:rPr>
          <w:color w:val="231F20"/>
          <w:sz w:val="20"/>
        </w:rPr>
        <w:t>approve</w:t>
      </w:r>
      <w:r>
        <w:rPr>
          <w:color w:val="231F20"/>
          <w:spacing w:val="30"/>
          <w:sz w:val="20"/>
        </w:rPr>
        <w:t> </w:t>
      </w:r>
      <w:r>
        <w:rPr>
          <w:color w:val="231F20"/>
          <w:sz w:val="20"/>
        </w:rPr>
        <w:t>the</w:t>
      </w:r>
      <w:r>
        <w:rPr>
          <w:color w:val="231F20"/>
          <w:spacing w:val="30"/>
          <w:sz w:val="20"/>
        </w:rPr>
        <w:t> </w:t>
      </w:r>
      <w:r>
        <w:rPr>
          <w:color w:val="231F20"/>
          <w:sz w:val="20"/>
        </w:rPr>
        <w:t>proposal</w:t>
      </w:r>
      <w:r>
        <w:rPr>
          <w:color w:val="231F20"/>
          <w:spacing w:val="29"/>
          <w:sz w:val="20"/>
        </w:rPr>
        <w:t> </w:t>
      </w:r>
      <w:r>
        <w:rPr>
          <w:color w:val="231F20"/>
          <w:sz w:val="20"/>
        </w:rPr>
        <w:t>for</w:t>
      </w:r>
      <w:r>
        <w:rPr>
          <w:color w:val="231F20"/>
          <w:spacing w:val="30"/>
          <w:sz w:val="20"/>
        </w:rPr>
        <w:t> </w:t>
      </w:r>
      <w:r>
        <w:rPr>
          <w:color w:val="231F20"/>
          <w:sz w:val="20"/>
        </w:rPr>
        <w:t>profit</w:t>
      </w:r>
      <w:r>
        <w:rPr>
          <w:color w:val="231F20"/>
          <w:spacing w:val="30"/>
          <w:sz w:val="20"/>
        </w:rPr>
        <w:t> </w:t>
      </w:r>
      <w:r>
        <w:rPr>
          <w:color w:val="231F20"/>
          <w:sz w:val="20"/>
        </w:rPr>
        <w:t>distribution</w:t>
      </w:r>
      <w:r>
        <w:rPr>
          <w:color w:val="231F20"/>
          <w:spacing w:val="29"/>
          <w:sz w:val="20"/>
        </w:rPr>
        <w:t> </w:t>
      </w:r>
      <w:r>
        <w:rPr>
          <w:color w:val="231F20"/>
          <w:sz w:val="20"/>
        </w:rPr>
        <w:t>for</w:t>
      </w:r>
      <w:r>
        <w:rPr>
          <w:color w:val="231F20"/>
          <w:spacing w:val="30"/>
          <w:sz w:val="20"/>
        </w:rPr>
        <w:t> </w:t>
      </w:r>
      <w:r>
        <w:rPr>
          <w:color w:val="231F20"/>
          <w:sz w:val="20"/>
        </w:rPr>
        <w:t>the</w:t>
      </w:r>
      <w:r>
        <w:rPr>
          <w:color w:val="231F20"/>
          <w:spacing w:val="30"/>
          <w:sz w:val="20"/>
        </w:rPr>
        <w:t> </w:t>
      </w:r>
      <w:r>
        <w:rPr>
          <w:color w:val="231F20"/>
          <w:sz w:val="20"/>
        </w:rPr>
        <w:t>first</w:t>
      </w:r>
      <w:r>
        <w:rPr>
          <w:color w:val="231F20"/>
          <w:spacing w:val="29"/>
          <w:sz w:val="20"/>
        </w:rPr>
        <w:t> </w:t>
      </w:r>
      <w:r>
        <w:rPr>
          <w:color w:val="231F20"/>
          <w:sz w:val="20"/>
        </w:rPr>
        <w:t>half</w:t>
      </w:r>
      <w:r>
        <w:rPr>
          <w:color w:val="231F20"/>
          <w:spacing w:val="30"/>
          <w:sz w:val="20"/>
        </w:rPr>
        <w:t> </w:t>
      </w:r>
      <w:r>
        <w:rPr>
          <w:color w:val="231F20"/>
          <w:sz w:val="20"/>
        </w:rPr>
        <w:t>of</w:t>
      </w:r>
      <w:r>
        <w:rPr>
          <w:color w:val="231F20"/>
          <w:spacing w:val="30"/>
          <w:sz w:val="20"/>
        </w:rPr>
        <w:t> </w:t>
      </w:r>
      <w:r>
        <w:rPr>
          <w:color w:val="231F20"/>
          <w:spacing w:val="-2"/>
          <w:sz w:val="20"/>
        </w:rPr>
        <w:t>2025;</w:t>
      </w:r>
    </w:p>
    <w:p>
      <w:pPr>
        <w:pStyle w:val="BodyText"/>
        <w:spacing w:before="100"/>
      </w:pPr>
    </w:p>
    <w:p>
      <w:pPr>
        <w:pStyle w:val="ListParagraph"/>
        <w:numPr>
          <w:ilvl w:val="1"/>
          <w:numId w:val="10"/>
        </w:numPr>
        <w:tabs>
          <w:tab w:pos="1276" w:val="left" w:leader="none"/>
        </w:tabs>
        <w:spacing w:line="292" w:lineRule="auto" w:before="0" w:after="0"/>
        <w:ind w:left="1276" w:right="135" w:hanging="567"/>
        <w:jc w:val="left"/>
        <w:rPr>
          <w:color w:val="231F20"/>
          <w:sz w:val="20"/>
        </w:rPr>
      </w:pPr>
      <w:r>
        <w:rPr>
          <w:color w:val="231F20"/>
          <w:sz w:val="20"/>
        </w:rPr>
        <w:t>To</w:t>
      </w:r>
      <w:r>
        <w:rPr>
          <w:color w:val="231F20"/>
          <w:spacing w:val="40"/>
          <w:sz w:val="20"/>
        </w:rPr>
        <w:t> </w:t>
      </w:r>
      <w:r>
        <w:rPr>
          <w:color w:val="231F20"/>
          <w:sz w:val="20"/>
        </w:rPr>
        <w:t>consider</w:t>
      </w:r>
      <w:r>
        <w:rPr>
          <w:color w:val="231F20"/>
          <w:spacing w:val="40"/>
          <w:sz w:val="20"/>
        </w:rPr>
        <w:t> </w:t>
      </w:r>
      <w:r>
        <w:rPr>
          <w:color w:val="231F20"/>
          <w:sz w:val="20"/>
        </w:rPr>
        <w:t>and</w:t>
      </w:r>
      <w:r>
        <w:rPr>
          <w:color w:val="231F20"/>
          <w:spacing w:val="40"/>
          <w:sz w:val="20"/>
        </w:rPr>
        <w:t> </w:t>
      </w:r>
      <w:r>
        <w:rPr>
          <w:color w:val="231F20"/>
          <w:sz w:val="20"/>
        </w:rPr>
        <w:t>approve</w:t>
      </w:r>
      <w:r>
        <w:rPr>
          <w:color w:val="231F20"/>
          <w:spacing w:val="40"/>
          <w:sz w:val="20"/>
        </w:rPr>
        <w:t> </w:t>
      </w:r>
      <w:r>
        <w:rPr>
          <w:color w:val="231F20"/>
          <w:sz w:val="20"/>
        </w:rPr>
        <w:t>the</w:t>
      </w:r>
      <w:r>
        <w:rPr>
          <w:color w:val="231F20"/>
          <w:spacing w:val="40"/>
          <w:sz w:val="20"/>
        </w:rPr>
        <w:t> </w:t>
      </w:r>
      <w:r>
        <w:rPr>
          <w:color w:val="231F20"/>
          <w:sz w:val="20"/>
        </w:rPr>
        <w:t>resolution</w:t>
      </w:r>
      <w:r>
        <w:rPr>
          <w:color w:val="231F20"/>
          <w:spacing w:val="40"/>
          <w:sz w:val="20"/>
        </w:rPr>
        <w:t> </w:t>
      </w:r>
      <w:r>
        <w:rPr>
          <w:color w:val="231F20"/>
          <w:sz w:val="20"/>
        </w:rPr>
        <w:t>regarding</w:t>
      </w:r>
      <w:r>
        <w:rPr>
          <w:color w:val="231F20"/>
          <w:spacing w:val="40"/>
          <w:sz w:val="20"/>
        </w:rPr>
        <w:t> </w:t>
      </w:r>
      <w:r>
        <w:rPr>
          <w:color w:val="231F20"/>
          <w:sz w:val="20"/>
        </w:rPr>
        <w:t>the</w:t>
      </w:r>
      <w:r>
        <w:rPr>
          <w:color w:val="231F20"/>
          <w:spacing w:val="40"/>
          <w:sz w:val="20"/>
        </w:rPr>
        <w:t> </w:t>
      </w:r>
      <w:r>
        <w:rPr>
          <w:color w:val="231F20"/>
          <w:sz w:val="20"/>
        </w:rPr>
        <w:t>adjustment</w:t>
      </w:r>
      <w:r>
        <w:rPr>
          <w:color w:val="231F20"/>
          <w:spacing w:val="40"/>
          <w:sz w:val="20"/>
        </w:rPr>
        <w:t> </w:t>
      </w:r>
      <w:r>
        <w:rPr>
          <w:color w:val="231F20"/>
          <w:sz w:val="20"/>
        </w:rPr>
        <w:t>to</w:t>
      </w:r>
      <w:r>
        <w:rPr>
          <w:color w:val="231F20"/>
          <w:spacing w:val="40"/>
          <w:sz w:val="20"/>
        </w:rPr>
        <w:t> </w:t>
      </w:r>
      <w:r>
        <w:rPr>
          <w:color w:val="231F20"/>
          <w:sz w:val="20"/>
        </w:rPr>
        <w:t>the</w:t>
      </w:r>
      <w:r>
        <w:rPr>
          <w:color w:val="231F20"/>
          <w:spacing w:val="40"/>
          <w:sz w:val="20"/>
        </w:rPr>
        <w:t> </w:t>
      </w:r>
      <w:r>
        <w:rPr>
          <w:color w:val="231F20"/>
          <w:sz w:val="20"/>
        </w:rPr>
        <w:t>estimated</w:t>
      </w:r>
      <w:r>
        <w:rPr>
          <w:color w:val="231F20"/>
          <w:spacing w:val="40"/>
          <w:sz w:val="20"/>
        </w:rPr>
        <w:t> </w:t>
      </w:r>
      <w:r>
        <w:rPr>
          <w:color w:val="231F20"/>
          <w:sz w:val="20"/>
        </w:rPr>
        <w:t>guarantee amount provided to subsidiaries; and</w:t>
      </w:r>
    </w:p>
    <w:p>
      <w:pPr>
        <w:pStyle w:val="BodyText"/>
        <w:spacing w:before="49"/>
      </w:pPr>
    </w:p>
    <w:p>
      <w:pPr>
        <w:pStyle w:val="ListParagraph"/>
        <w:numPr>
          <w:ilvl w:val="1"/>
          <w:numId w:val="10"/>
        </w:numPr>
        <w:tabs>
          <w:tab w:pos="1276" w:val="left" w:leader="none"/>
        </w:tabs>
        <w:spacing w:line="292" w:lineRule="auto" w:before="0" w:after="0"/>
        <w:ind w:left="1276" w:right="130" w:hanging="567"/>
        <w:jc w:val="left"/>
        <w:rPr>
          <w:color w:val="231F20"/>
          <w:sz w:val="20"/>
        </w:rPr>
      </w:pPr>
      <w:r>
        <w:rPr>
          <w:color w:val="231F20"/>
          <w:sz w:val="20"/>
        </w:rPr>
        <w:t>To</w:t>
      </w:r>
      <w:r>
        <w:rPr>
          <w:color w:val="231F20"/>
          <w:spacing w:val="73"/>
          <w:sz w:val="20"/>
        </w:rPr>
        <w:t> </w:t>
      </w:r>
      <w:r>
        <w:rPr>
          <w:color w:val="231F20"/>
          <w:sz w:val="20"/>
        </w:rPr>
        <w:t>consider</w:t>
      </w:r>
      <w:r>
        <w:rPr>
          <w:color w:val="231F20"/>
          <w:spacing w:val="73"/>
          <w:sz w:val="20"/>
        </w:rPr>
        <w:t> </w:t>
      </w:r>
      <w:r>
        <w:rPr>
          <w:color w:val="231F20"/>
          <w:sz w:val="20"/>
        </w:rPr>
        <w:t>and</w:t>
      </w:r>
      <w:r>
        <w:rPr>
          <w:color w:val="231F20"/>
          <w:spacing w:val="73"/>
          <w:sz w:val="20"/>
        </w:rPr>
        <w:t> </w:t>
      </w:r>
      <w:r>
        <w:rPr>
          <w:color w:val="231F20"/>
          <w:sz w:val="20"/>
        </w:rPr>
        <w:t>approve</w:t>
      </w:r>
      <w:r>
        <w:rPr>
          <w:color w:val="231F20"/>
          <w:spacing w:val="73"/>
          <w:sz w:val="20"/>
        </w:rPr>
        <w:t> </w:t>
      </w:r>
      <w:r>
        <w:rPr>
          <w:color w:val="231F20"/>
          <w:sz w:val="20"/>
        </w:rPr>
        <w:t>the</w:t>
      </w:r>
      <w:r>
        <w:rPr>
          <w:color w:val="231F20"/>
          <w:spacing w:val="73"/>
          <w:sz w:val="20"/>
        </w:rPr>
        <w:t> </w:t>
      </w:r>
      <w:r>
        <w:rPr>
          <w:color w:val="231F20"/>
          <w:sz w:val="20"/>
        </w:rPr>
        <w:t>resolution</w:t>
      </w:r>
      <w:r>
        <w:rPr>
          <w:color w:val="231F20"/>
          <w:spacing w:val="73"/>
          <w:sz w:val="20"/>
        </w:rPr>
        <w:t> </w:t>
      </w:r>
      <w:r>
        <w:rPr>
          <w:color w:val="231F20"/>
          <w:sz w:val="20"/>
        </w:rPr>
        <w:t>regarding</w:t>
      </w:r>
      <w:r>
        <w:rPr>
          <w:color w:val="231F20"/>
          <w:spacing w:val="73"/>
          <w:sz w:val="20"/>
        </w:rPr>
        <w:t> </w:t>
      </w:r>
      <w:r>
        <w:rPr>
          <w:color w:val="231F20"/>
          <w:sz w:val="20"/>
        </w:rPr>
        <w:t>the</w:t>
      </w:r>
      <w:r>
        <w:rPr>
          <w:color w:val="231F20"/>
          <w:spacing w:val="73"/>
          <w:sz w:val="20"/>
        </w:rPr>
        <w:t> </w:t>
      </w:r>
      <w:r>
        <w:rPr>
          <w:color w:val="231F20"/>
          <w:sz w:val="20"/>
        </w:rPr>
        <w:t>adjustment</w:t>
      </w:r>
      <w:r>
        <w:rPr>
          <w:color w:val="231F20"/>
          <w:spacing w:val="73"/>
          <w:sz w:val="20"/>
        </w:rPr>
        <w:t> </w:t>
      </w:r>
      <w:r>
        <w:rPr>
          <w:color w:val="231F20"/>
          <w:sz w:val="20"/>
        </w:rPr>
        <w:t>to</w:t>
      </w:r>
      <w:r>
        <w:rPr>
          <w:color w:val="231F20"/>
          <w:spacing w:val="73"/>
          <w:sz w:val="20"/>
        </w:rPr>
        <w:t> </w:t>
      </w:r>
      <w:r>
        <w:rPr>
          <w:color w:val="231F20"/>
          <w:sz w:val="20"/>
        </w:rPr>
        <w:t>the</w:t>
      </w:r>
      <w:r>
        <w:rPr>
          <w:color w:val="231F20"/>
          <w:spacing w:val="73"/>
          <w:sz w:val="20"/>
        </w:rPr>
        <w:t> </w:t>
      </w:r>
      <w:r>
        <w:rPr>
          <w:color w:val="231F20"/>
          <w:sz w:val="20"/>
        </w:rPr>
        <w:t>limit</w:t>
      </w:r>
      <w:r>
        <w:rPr>
          <w:color w:val="231F20"/>
          <w:spacing w:val="73"/>
          <w:sz w:val="20"/>
        </w:rPr>
        <w:t> </w:t>
      </w:r>
      <w:r>
        <w:rPr>
          <w:color w:val="231F20"/>
          <w:sz w:val="20"/>
        </w:rPr>
        <w:t>for</w:t>
      </w:r>
      <w:r>
        <w:rPr>
          <w:color w:val="231F20"/>
          <w:spacing w:val="73"/>
          <w:sz w:val="20"/>
        </w:rPr>
        <w:t> </w:t>
      </w:r>
      <w:r>
        <w:rPr>
          <w:color w:val="231F20"/>
          <w:sz w:val="20"/>
        </w:rPr>
        <w:t>wealth management</w:t>
      </w:r>
      <w:r>
        <w:rPr>
          <w:color w:val="231F20"/>
          <w:spacing w:val="40"/>
          <w:sz w:val="20"/>
        </w:rPr>
        <w:t> </w:t>
      </w:r>
      <w:r>
        <w:rPr>
          <w:color w:val="231F20"/>
          <w:sz w:val="20"/>
        </w:rPr>
        <w:t>products</w:t>
      </w:r>
      <w:r>
        <w:rPr>
          <w:color w:val="231F20"/>
          <w:spacing w:val="40"/>
          <w:sz w:val="20"/>
        </w:rPr>
        <w:t> </w:t>
      </w:r>
      <w:r>
        <w:rPr>
          <w:color w:val="231F20"/>
          <w:sz w:val="20"/>
        </w:rPr>
        <w:t>using</w:t>
      </w:r>
      <w:r>
        <w:rPr>
          <w:color w:val="231F20"/>
          <w:spacing w:val="40"/>
          <w:sz w:val="20"/>
        </w:rPr>
        <w:t> </w:t>
      </w:r>
      <w:r>
        <w:rPr>
          <w:color w:val="231F20"/>
          <w:sz w:val="20"/>
        </w:rPr>
        <w:t>internal</w:t>
      </w:r>
      <w:r>
        <w:rPr>
          <w:color w:val="231F20"/>
          <w:spacing w:val="40"/>
          <w:sz w:val="20"/>
        </w:rPr>
        <w:t> </w:t>
      </w:r>
      <w:r>
        <w:rPr>
          <w:color w:val="231F20"/>
          <w:sz w:val="20"/>
        </w:rPr>
        <w:t>idle</w:t>
      </w:r>
      <w:r>
        <w:rPr>
          <w:color w:val="231F20"/>
          <w:spacing w:val="40"/>
          <w:sz w:val="20"/>
        </w:rPr>
        <w:t> </w:t>
      </w:r>
      <w:r>
        <w:rPr>
          <w:color w:val="231F20"/>
          <w:sz w:val="20"/>
        </w:rPr>
        <w:t>funds.</w:t>
      </w:r>
    </w:p>
    <w:p>
      <w:pPr>
        <w:pStyle w:val="BodyText"/>
        <w:spacing w:before="49"/>
      </w:pPr>
    </w:p>
    <w:p>
      <w:pPr>
        <w:spacing w:line="292" w:lineRule="auto" w:before="0"/>
        <w:ind w:left="5790" w:right="681" w:firstLine="0"/>
        <w:jc w:val="center"/>
        <w:rPr>
          <w:b/>
          <w:sz w:val="20"/>
        </w:rPr>
      </w:pPr>
      <w:r>
        <w:rPr>
          <w:color w:val="231F20"/>
          <w:sz w:val="20"/>
        </w:rPr>
        <w:t>For and on behalf of the </w:t>
      </w:r>
      <w:r>
        <w:rPr>
          <w:color w:val="231F20"/>
          <w:sz w:val="20"/>
        </w:rPr>
        <w:t>Board </w:t>
      </w:r>
      <w:r>
        <w:rPr>
          <w:b/>
          <w:color w:val="231F20"/>
          <w:sz w:val="20"/>
        </w:rPr>
        <w:t>Xiamen Jihong Co., Ltd ZHUANG Hao</w:t>
      </w:r>
    </w:p>
    <w:p>
      <w:pPr>
        <w:spacing w:line="228" w:lineRule="exact" w:before="0"/>
        <w:ind w:left="5107" w:right="0" w:firstLine="0"/>
        <w:jc w:val="center"/>
        <w:rPr>
          <w:i/>
          <w:sz w:val="20"/>
        </w:rPr>
      </w:pPr>
      <w:r>
        <w:rPr>
          <w:i/>
          <w:color w:val="231F20"/>
          <w:sz w:val="20"/>
        </w:rPr>
        <w:t>Executive</w:t>
      </w:r>
      <w:r>
        <w:rPr>
          <w:i/>
          <w:color w:val="231F20"/>
          <w:spacing w:val="26"/>
          <w:sz w:val="20"/>
        </w:rPr>
        <w:t> </w:t>
      </w:r>
      <w:r>
        <w:rPr>
          <w:i/>
          <w:color w:val="231F20"/>
          <w:sz w:val="20"/>
        </w:rPr>
        <w:t>Director</w:t>
      </w:r>
      <w:r>
        <w:rPr>
          <w:i/>
          <w:color w:val="231F20"/>
          <w:spacing w:val="26"/>
          <w:sz w:val="20"/>
        </w:rPr>
        <w:t> </w:t>
      </w:r>
      <w:r>
        <w:rPr>
          <w:i/>
          <w:color w:val="231F20"/>
          <w:sz w:val="20"/>
        </w:rPr>
        <w:t>and</w:t>
      </w:r>
      <w:r>
        <w:rPr>
          <w:i/>
          <w:color w:val="231F20"/>
          <w:spacing w:val="26"/>
          <w:sz w:val="20"/>
        </w:rPr>
        <w:t> </w:t>
      </w:r>
      <w:r>
        <w:rPr>
          <w:i/>
          <w:color w:val="231F20"/>
          <w:sz w:val="20"/>
        </w:rPr>
        <w:t>General</w:t>
      </w:r>
      <w:r>
        <w:rPr>
          <w:i/>
          <w:color w:val="231F20"/>
          <w:spacing w:val="26"/>
          <w:sz w:val="20"/>
        </w:rPr>
        <w:t> </w:t>
      </w:r>
      <w:r>
        <w:rPr>
          <w:i/>
          <w:color w:val="231F20"/>
          <w:spacing w:val="-2"/>
          <w:sz w:val="20"/>
        </w:rPr>
        <w:t>Manager</w:t>
      </w:r>
    </w:p>
    <w:p>
      <w:pPr>
        <w:pStyle w:val="BodyText"/>
        <w:spacing w:before="100"/>
        <w:rPr>
          <w:i/>
        </w:rPr>
      </w:pPr>
    </w:p>
    <w:p>
      <w:pPr>
        <w:pStyle w:val="BodyText"/>
        <w:ind w:left="142"/>
      </w:pPr>
      <w:r>
        <w:rPr>
          <w:color w:val="231F20"/>
        </w:rPr>
        <w:t>Hong</w:t>
      </w:r>
      <w:r>
        <w:rPr>
          <w:color w:val="231F20"/>
          <w:spacing w:val="22"/>
        </w:rPr>
        <w:t> </w:t>
      </w:r>
      <w:r>
        <w:rPr>
          <w:color w:val="231F20"/>
        </w:rPr>
        <w:t>Kong,</w:t>
      </w:r>
      <w:r>
        <w:rPr>
          <w:color w:val="231F20"/>
          <w:spacing w:val="23"/>
        </w:rPr>
        <w:t> </w:t>
      </w:r>
      <w:r>
        <w:rPr>
          <w:color w:val="231F20"/>
        </w:rPr>
        <w:t>August</w:t>
      </w:r>
      <w:r>
        <w:rPr>
          <w:color w:val="231F20"/>
          <w:spacing w:val="22"/>
        </w:rPr>
        <w:t> </w:t>
      </w:r>
      <w:r>
        <w:rPr>
          <w:color w:val="231F20"/>
        </w:rPr>
        <w:t>25,</w:t>
      </w:r>
      <w:r>
        <w:rPr>
          <w:color w:val="231F20"/>
          <w:spacing w:val="23"/>
        </w:rPr>
        <w:t> </w:t>
      </w:r>
      <w:r>
        <w:rPr>
          <w:color w:val="231F20"/>
          <w:spacing w:val="-4"/>
        </w:rPr>
        <w:t>2025</w:t>
      </w:r>
    </w:p>
    <w:p>
      <w:pPr>
        <w:pStyle w:val="BodyText"/>
        <w:spacing w:after="0"/>
        <w:sectPr>
          <w:headerReference w:type="default" r:id="rId17"/>
          <w:footerReference w:type="default" r:id="rId18"/>
          <w:pgSz w:w="11910" w:h="15880"/>
          <w:pgMar w:header="567" w:footer="573" w:top="1300" w:bottom="760" w:left="1275" w:right="1275"/>
          <w:pgNumType w:start="1"/>
        </w:sectPr>
      </w:pPr>
    </w:p>
    <w:p>
      <w:pPr>
        <w:spacing w:before="93"/>
        <w:ind w:left="142" w:right="0" w:firstLine="0"/>
        <w:jc w:val="left"/>
        <w:rPr>
          <w:i/>
          <w:sz w:val="16"/>
        </w:rPr>
      </w:pPr>
      <w:r>
        <w:rPr>
          <w:i/>
          <w:color w:val="231F20"/>
          <w:spacing w:val="-2"/>
          <w:sz w:val="16"/>
        </w:rPr>
        <w:t>Notes:</w:t>
      </w:r>
    </w:p>
    <w:p>
      <w:pPr>
        <w:pStyle w:val="BodyText"/>
        <w:spacing w:before="72"/>
        <w:rPr>
          <w:i/>
          <w:sz w:val="16"/>
        </w:rPr>
      </w:pPr>
    </w:p>
    <w:p>
      <w:pPr>
        <w:pStyle w:val="ListParagraph"/>
        <w:numPr>
          <w:ilvl w:val="0"/>
          <w:numId w:val="11"/>
        </w:numPr>
        <w:tabs>
          <w:tab w:pos="709" w:val="left" w:leader="none"/>
        </w:tabs>
        <w:spacing w:line="288" w:lineRule="auto" w:before="0" w:after="0"/>
        <w:ind w:left="709" w:right="135" w:hanging="567"/>
        <w:jc w:val="both"/>
        <w:rPr>
          <w:sz w:val="16"/>
        </w:rPr>
      </w:pPr>
      <w:r>
        <w:rPr>
          <w:color w:val="231F20"/>
          <w:sz w:val="16"/>
        </w:rPr>
        <w:t>Pursuant to Rule 13.39(4) of the Listing Rules, votes of the shareholders at the 2025 Second EGM shall be taken by poll except</w:t>
      </w:r>
      <w:r>
        <w:rPr>
          <w:color w:val="231F20"/>
          <w:spacing w:val="40"/>
          <w:sz w:val="16"/>
        </w:rPr>
        <w:t> </w:t>
      </w:r>
      <w:r>
        <w:rPr>
          <w:color w:val="231F20"/>
          <w:sz w:val="16"/>
        </w:rPr>
        <w:t>where</w:t>
      </w:r>
      <w:r>
        <w:rPr>
          <w:color w:val="231F20"/>
          <w:spacing w:val="18"/>
          <w:sz w:val="16"/>
        </w:rPr>
        <w:t> </w:t>
      </w:r>
      <w:r>
        <w:rPr>
          <w:color w:val="231F20"/>
          <w:sz w:val="16"/>
        </w:rPr>
        <w:t>the</w:t>
      </w:r>
      <w:r>
        <w:rPr>
          <w:color w:val="231F20"/>
          <w:spacing w:val="18"/>
          <w:sz w:val="16"/>
        </w:rPr>
        <w:t> </w:t>
      </w:r>
      <w:r>
        <w:rPr>
          <w:color w:val="231F20"/>
          <w:sz w:val="16"/>
        </w:rPr>
        <w:t>chairman</w:t>
      </w:r>
      <w:r>
        <w:rPr>
          <w:color w:val="231F20"/>
          <w:spacing w:val="18"/>
          <w:sz w:val="16"/>
        </w:rPr>
        <w:t> </w:t>
      </w:r>
      <w:r>
        <w:rPr>
          <w:color w:val="231F20"/>
          <w:sz w:val="16"/>
        </w:rPr>
        <w:t>of</w:t>
      </w:r>
      <w:r>
        <w:rPr>
          <w:color w:val="231F20"/>
          <w:spacing w:val="18"/>
          <w:sz w:val="16"/>
        </w:rPr>
        <w:t> </w:t>
      </w:r>
      <w:r>
        <w:rPr>
          <w:color w:val="231F20"/>
          <w:sz w:val="16"/>
        </w:rPr>
        <w:t>the</w:t>
      </w:r>
      <w:r>
        <w:rPr>
          <w:color w:val="231F20"/>
          <w:spacing w:val="18"/>
          <w:sz w:val="16"/>
        </w:rPr>
        <w:t> </w:t>
      </w:r>
      <w:r>
        <w:rPr>
          <w:color w:val="231F20"/>
          <w:sz w:val="16"/>
        </w:rPr>
        <w:t>2025</w:t>
      </w:r>
      <w:r>
        <w:rPr>
          <w:color w:val="231F20"/>
          <w:spacing w:val="18"/>
          <w:sz w:val="16"/>
        </w:rPr>
        <w:t> </w:t>
      </w:r>
      <w:r>
        <w:rPr>
          <w:color w:val="231F20"/>
          <w:sz w:val="16"/>
        </w:rPr>
        <w:t>Second</w:t>
      </w:r>
      <w:r>
        <w:rPr>
          <w:color w:val="231F20"/>
          <w:spacing w:val="18"/>
          <w:sz w:val="16"/>
        </w:rPr>
        <w:t> </w:t>
      </w:r>
      <w:r>
        <w:rPr>
          <w:color w:val="231F20"/>
          <w:sz w:val="16"/>
        </w:rPr>
        <w:t>EGM,</w:t>
      </w:r>
      <w:r>
        <w:rPr>
          <w:color w:val="231F20"/>
          <w:spacing w:val="18"/>
          <w:sz w:val="16"/>
        </w:rPr>
        <w:t> </w:t>
      </w:r>
      <w:r>
        <w:rPr>
          <w:color w:val="231F20"/>
          <w:sz w:val="16"/>
        </w:rPr>
        <w:t>in</w:t>
      </w:r>
      <w:r>
        <w:rPr>
          <w:color w:val="231F20"/>
          <w:spacing w:val="18"/>
          <w:sz w:val="16"/>
        </w:rPr>
        <w:t> </w:t>
      </w:r>
      <w:r>
        <w:rPr>
          <w:color w:val="231F20"/>
          <w:sz w:val="16"/>
        </w:rPr>
        <w:t>good</w:t>
      </w:r>
      <w:r>
        <w:rPr>
          <w:color w:val="231F20"/>
          <w:spacing w:val="18"/>
          <w:sz w:val="16"/>
        </w:rPr>
        <w:t> </w:t>
      </w:r>
      <w:r>
        <w:rPr>
          <w:color w:val="231F20"/>
          <w:sz w:val="16"/>
        </w:rPr>
        <w:t>faith,</w:t>
      </w:r>
      <w:r>
        <w:rPr>
          <w:color w:val="231F20"/>
          <w:spacing w:val="18"/>
          <w:sz w:val="16"/>
        </w:rPr>
        <w:t> </w:t>
      </w:r>
      <w:r>
        <w:rPr>
          <w:color w:val="231F20"/>
          <w:sz w:val="16"/>
        </w:rPr>
        <w:t>decides</w:t>
      </w:r>
      <w:r>
        <w:rPr>
          <w:color w:val="231F20"/>
          <w:spacing w:val="18"/>
          <w:sz w:val="16"/>
        </w:rPr>
        <w:t> </w:t>
      </w:r>
      <w:r>
        <w:rPr>
          <w:color w:val="231F20"/>
          <w:sz w:val="16"/>
        </w:rPr>
        <w:t>to</w:t>
      </w:r>
      <w:r>
        <w:rPr>
          <w:color w:val="231F20"/>
          <w:spacing w:val="18"/>
          <w:sz w:val="16"/>
        </w:rPr>
        <w:t> </w:t>
      </w:r>
      <w:r>
        <w:rPr>
          <w:color w:val="231F20"/>
          <w:sz w:val="16"/>
        </w:rPr>
        <w:t>allow</w:t>
      </w:r>
      <w:r>
        <w:rPr>
          <w:color w:val="231F20"/>
          <w:spacing w:val="18"/>
          <w:sz w:val="16"/>
        </w:rPr>
        <w:t> </w:t>
      </w:r>
      <w:r>
        <w:rPr>
          <w:color w:val="231F20"/>
          <w:sz w:val="16"/>
        </w:rPr>
        <w:t>a</w:t>
      </w:r>
      <w:r>
        <w:rPr>
          <w:color w:val="231F20"/>
          <w:spacing w:val="18"/>
          <w:sz w:val="16"/>
        </w:rPr>
        <w:t> </w:t>
      </w:r>
      <w:r>
        <w:rPr>
          <w:color w:val="231F20"/>
          <w:sz w:val="16"/>
        </w:rPr>
        <w:t>resolution</w:t>
      </w:r>
      <w:r>
        <w:rPr>
          <w:color w:val="231F20"/>
          <w:spacing w:val="18"/>
          <w:sz w:val="16"/>
        </w:rPr>
        <w:t> </w:t>
      </w:r>
      <w:r>
        <w:rPr>
          <w:color w:val="231F20"/>
          <w:sz w:val="16"/>
        </w:rPr>
        <w:t>which</w:t>
      </w:r>
      <w:r>
        <w:rPr>
          <w:color w:val="231F20"/>
          <w:spacing w:val="18"/>
          <w:sz w:val="16"/>
        </w:rPr>
        <w:t> </w:t>
      </w:r>
      <w:r>
        <w:rPr>
          <w:color w:val="231F20"/>
          <w:sz w:val="16"/>
        </w:rPr>
        <w:t>relates</w:t>
      </w:r>
      <w:r>
        <w:rPr>
          <w:color w:val="231F20"/>
          <w:spacing w:val="18"/>
          <w:sz w:val="16"/>
        </w:rPr>
        <w:t> </w:t>
      </w:r>
      <w:r>
        <w:rPr>
          <w:color w:val="231F20"/>
          <w:sz w:val="16"/>
        </w:rPr>
        <w:t>purely</w:t>
      </w:r>
      <w:r>
        <w:rPr>
          <w:color w:val="231F20"/>
          <w:spacing w:val="18"/>
          <w:sz w:val="16"/>
        </w:rPr>
        <w:t> </w:t>
      </w:r>
      <w:r>
        <w:rPr>
          <w:color w:val="231F20"/>
          <w:sz w:val="16"/>
        </w:rPr>
        <w:t>to</w:t>
      </w:r>
      <w:r>
        <w:rPr>
          <w:color w:val="231F20"/>
          <w:spacing w:val="18"/>
          <w:sz w:val="16"/>
        </w:rPr>
        <w:t> </w:t>
      </w:r>
      <w:r>
        <w:rPr>
          <w:color w:val="231F20"/>
          <w:sz w:val="16"/>
        </w:rPr>
        <w:t>a</w:t>
      </w:r>
      <w:r>
        <w:rPr>
          <w:color w:val="231F20"/>
          <w:spacing w:val="18"/>
          <w:sz w:val="16"/>
        </w:rPr>
        <w:t> </w:t>
      </w:r>
      <w:r>
        <w:rPr>
          <w:color w:val="231F20"/>
          <w:sz w:val="16"/>
        </w:rPr>
        <w:t>procedural</w:t>
      </w:r>
      <w:r>
        <w:rPr>
          <w:color w:val="231F20"/>
          <w:spacing w:val="40"/>
          <w:sz w:val="16"/>
        </w:rPr>
        <w:t> </w:t>
      </w:r>
      <w:r>
        <w:rPr>
          <w:color w:val="231F20"/>
          <w:sz w:val="16"/>
        </w:rPr>
        <w:t>or</w:t>
      </w:r>
      <w:r>
        <w:rPr>
          <w:color w:val="231F20"/>
          <w:spacing w:val="36"/>
          <w:sz w:val="16"/>
        </w:rPr>
        <w:t> </w:t>
      </w:r>
      <w:r>
        <w:rPr>
          <w:color w:val="231F20"/>
          <w:sz w:val="16"/>
        </w:rPr>
        <w:t>administrative</w:t>
      </w:r>
      <w:r>
        <w:rPr>
          <w:color w:val="231F20"/>
          <w:spacing w:val="36"/>
          <w:sz w:val="16"/>
        </w:rPr>
        <w:t> </w:t>
      </w:r>
      <w:r>
        <w:rPr>
          <w:color w:val="231F20"/>
          <w:sz w:val="16"/>
        </w:rPr>
        <w:t>matter</w:t>
      </w:r>
      <w:r>
        <w:rPr>
          <w:color w:val="231F20"/>
          <w:spacing w:val="36"/>
          <w:sz w:val="16"/>
        </w:rPr>
        <w:t> </w:t>
      </w:r>
      <w:r>
        <w:rPr>
          <w:color w:val="231F20"/>
          <w:sz w:val="16"/>
        </w:rPr>
        <w:t>to</w:t>
      </w:r>
      <w:r>
        <w:rPr>
          <w:color w:val="231F20"/>
          <w:spacing w:val="36"/>
          <w:sz w:val="16"/>
        </w:rPr>
        <w:t> </w:t>
      </w:r>
      <w:r>
        <w:rPr>
          <w:color w:val="231F20"/>
          <w:sz w:val="16"/>
        </w:rPr>
        <w:t>be</w:t>
      </w:r>
      <w:r>
        <w:rPr>
          <w:color w:val="231F20"/>
          <w:spacing w:val="36"/>
          <w:sz w:val="16"/>
        </w:rPr>
        <w:t> </w:t>
      </w:r>
      <w:r>
        <w:rPr>
          <w:color w:val="231F20"/>
          <w:sz w:val="16"/>
        </w:rPr>
        <w:t>voted</w:t>
      </w:r>
      <w:r>
        <w:rPr>
          <w:color w:val="231F20"/>
          <w:spacing w:val="36"/>
          <w:sz w:val="16"/>
        </w:rPr>
        <w:t> </w:t>
      </w:r>
      <w:r>
        <w:rPr>
          <w:color w:val="231F20"/>
          <w:sz w:val="16"/>
        </w:rPr>
        <w:t>by</w:t>
      </w:r>
      <w:r>
        <w:rPr>
          <w:color w:val="231F20"/>
          <w:spacing w:val="36"/>
          <w:sz w:val="16"/>
        </w:rPr>
        <w:t> </w:t>
      </w:r>
      <w:r>
        <w:rPr>
          <w:color w:val="231F20"/>
          <w:sz w:val="16"/>
        </w:rPr>
        <w:t>a</w:t>
      </w:r>
      <w:r>
        <w:rPr>
          <w:color w:val="231F20"/>
          <w:spacing w:val="36"/>
          <w:sz w:val="16"/>
        </w:rPr>
        <w:t> </w:t>
      </w:r>
      <w:r>
        <w:rPr>
          <w:color w:val="231F20"/>
          <w:sz w:val="16"/>
        </w:rPr>
        <w:t>show</w:t>
      </w:r>
      <w:r>
        <w:rPr>
          <w:color w:val="231F20"/>
          <w:spacing w:val="36"/>
          <w:sz w:val="16"/>
        </w:rPr>
        <w:t> </w:t>
      </w:r>
      <w:r>
        <w:rPr>
          <w:color w:val="231F20"/>
          <w:sz w:val="16"/>
        </w:rPr>
        <w:t>of</w:t>
      </w:r>
      <w:r>
        <w:rPr>
          <w:color w:val="231F20"/>
          <w:spacing w:val="36"/>
          <w:sz w:val="16"/>
        </w:rPr>
        <w:t> </w:t>
      </w:r>
      <w:r>
        <w:rPr>
          <w:color w:val="231F20"/>
          <w:sz w:val="16"/>
        </w:rPr>
        <w:t>hands.</w:t>
      </w:r>
    </w:p>
    <w:p>
      <w:pPr>
        <w:pStyle w:val="BodyText"/>
        <w:spacing w:before="33"/>
        <w:rPr>
          <w:sz w:val="16"/>
        </w:rPr>
      </w:pPr>
    </w:p>
    <w:p>
      <w:pPr>
        <w:pStyle w:val="ListParagraph"/>
        <w:numPr>
          <w:ilvl w:val="0"/>
          <w:numId w:val="11"/>
        </w:numPr>
        <w:tabs>
          <w:tab w:pos="709" w:val="left" w:leader="none"/>
        </w:tabs>
        <w:spacing w:line="288" w:lineRule="auto" w:before="1" w:after="0"/>
        <w:ind w:left="709" w:right="135" w:hanging="567"/>
        <w:jc w:val="both"/>
        <w:rPr>
          <w:sz w:val="16"/>
        </w:rPr>
      </w:pPr>
      <w:r>
        <w:rPr>
          <w:color w:val="231F20"/>
          <w:sz w:val="16"/>
        </w:rPr>
        <w:t>Any</w:t>
      </w:r>
      <w:r>
        <w:rPr>
          <w:color w:val="231F20"/>
          <w:spacing w:val="12"/>
          <w:sz w:val="16"/>
        </w:rPr>
        <w:t> </w:t>
      </w:r>
      <w:r>
        <w:rPr>
          <w:color w:val="231F20"/>
          <w:sz w:val="16"/>
        </w:rPr>
        <w:t>shareholder</w:t>
      </w:r>
      <w:r>
        <w:rPr>
          <w:color w:val="231F20"/>
          <w:spacing w:val="12"/>
          <w:sz w:val="16"/>
        </w:rPr>
        <w:t> </w:t>
      </w:r>
      <w:r>
        <w:rPr>
          <w:color w:val="231F20"/>
          <w:sz w:val="16"/>
        </w:rPr>
        <w:t>entitled</w:t>
      </w:r>
      <w:r>
        <w:rPr>
          <w:color w:val="231F20"/>
          <w:spacing w:val="12"/>
          <w:sz w:val="16"/>
        </w:rPr>
        <w:t> </w:t>
      </w:r>
      <w:r>
        <w:rPr>
          <w:color w:val="231F20"/>
          <w:sz w:val="16"/>
        </w:rPr>
        <w:t>to</w:t>
      </w:r>
      <w:r>
        <w:rPr>
          <w:color w:val="231F20"/>
          <w:spacing w:val="12"/>
          <w:sz w:val="16"/>
        </w:rPr>
        <w:t> </w:t>
      </w:r>
      <w:r>
        <w:rPr>
          <w:color w:val="231F20"/>
          <w:sz w:val="16"/>
        </w:rPr>
        <w:t>attend</w:t>
      </w:r>
      <w:r>
        <w:rPr>
          <w:color w:val="231F20"/>
          <w:spacing w:val="12"/>
          <w:sz w:val="16"/>
        </w:rPr>
        <w:t> </w:t>
      </w:r>
      <w:r>
        <w:rPr>
          <w:color w:val="231F20"/>
          <w:sz w:val="16"/>
        </w:rPr>
        <w:t>and</w:t>
      </w:r>
      <w:r>
        <w:rPr>
          <w:color w:val="231F20"/>
          <w:spacing w:val="12"/>
          <w:sz w:val="16"/>
        </w:rPr>
        <w:t> </w:t>
      </w:r>
      <w:r>
        <w:rPr>
          <w:color w:val="231F20"/>
          <w:sz w:val="16"/>
        </w:rPr>
        <w:t>vote</w:t>
      </w:r>
      <w:r>
        <w:rPr>
          <w:color w:val="231F20"/>
          <w:spacing w:val="12"/>
          <w:sz w:val="16"/>
        </w:rPr>
        <w:t> </w:t>
      </w:r>
      <w:r>
        <w:rPr>
          <w:color w:val="231F20"/>
          <w:sz w:val="16"/>
        </w:rPr>
        <w:t>at</w:t>
      </w:r>
      <w:r>
        <w:rPr>
          <w:color w:val="231F20"/>
          <w:spacing w:val="12"/>
          <w:sz w:val="16"/>
        </w:rPr>
        <w:t> </w:t>
      </w:r>
      <w:r>
        <w:rPr>
          <w:color w:val="231F20"/>
          <w:sz w:val="16"/>
        </w:rPr>
        <w:t>the</w:t>
      </w:r>
      <w:r>
        <w:rPr>
          <w:color w:val="231F20"/>
          <w:spacing w:val="12"/>
          <w:sz w:val="16"/>
        </w:rPr>
        <w:t> </w:t>
      </w:r>
      <w:r>
        <w:rPr>
          <w:color w:val="231F20"/>
          <w:sz w:val="16"/>
        </w:rPr>
        <w:t>2025</w:t>
      </w:r>
      <w:r>
        <w:rPr>
          <w:color w:val="231F20"/>
          <w:spacing w:val="12"/>
          <w:sz w:val="16"/>
        </w:rPr>
        <w:t> </w:t>
      </w:r>
      <w:r>
        <w:rPr>
          <w:color w:val="231F20"/>
          <w:sz w:val="16"/>
        </w:rPr>
        <w:t>Second</w:t>
      </w:r>
      <w:r>
        <w:rPr>
          <w:color w:val="231F20"/>
          <w:spacing w:val="12"/>
          <w:sz w:val="16"/>
        </w:rPr>
        <w:t> </w:t>
      </w:r>
      <w:r>
        <w:rPr>
          <w:color w:val="231F20"/>
          <w:sz w:val="16"/>
        </w:rPr>
        <w:t>EGM</w:t>
      </w:r>
      <w:r>
        <w:rPr>
          <w:color w:val="231F20"/>
          <w:spacing w:val="12"/>
          <w:sz w:val="16"/>
        </w:rPr>
        <w:t> </w:t>
      </w:r>
      <w:r>
        <w:rPr>
          <w:color w:val="231F20"/>
          <w:sz w:val="16"/>
        </w:rPr>
        <w:t>is</w:t>
      </w:r>
      <w:r>
        <w:rPr>
          <w:color w:val="231F20"/>
          <w:spacing w:val="12"/>
          <w:sz w:val="16"/>
        </w:rPr>
        <w:t> </w:t>
      </w:r>
      <w:r>
        <w:rPr>
          <w:color w:val="231F20"/>
          <w:sz w:val="16"/>
        </w:rPr>
        <w:t>entitled</w:t>
      </w:r>
      <w:r>
        <w:rPr>
          <w:color w:val="231F20"/>
          <w:spacing w:val="12"/>
          <w:sz w:val="16"/>
        </w:rPr>
        <w:t> </w:t>
      </w:r>
      <w:r>
        <w:rPr>
          <w:color w:val="231F20"/>
          <w:sz w:val="16"/>
        </w:rPr>
        <w:t>to</w:t>
      </w:r>
      <w:r>
        <w:rPr>
          <w:color w:val="231F20"/>
          <w:spacing w:val="12"/>
          <w:sz w:val="16"/>
        </w:rPr>
        <w:t> </w:t>
      </w:r>
      <w:r>
        <w:rPr>
          <w:color w:val="231F20"/>
          <w:sz w:val="16"/>
        </w:rPr>
        <w:t>appoint</w:t>
      </w:r>
      <w:r>
        <w:rPr>
          <w:color w:val="231F20"/>
          <w:spacing w:val="12"/>
          <w:sz w:val="16"/>
        </w:rPr>
        <w:t> </w:t>
      </w:r>
      <w:r>
        <w:rPr>
          <w:color w:val="231F20"/>
          <w:sz w:val="16"/>
        </w:rPr>
        <w:t>one</w:t>
      </w:r>
      <w:r>
        <w:rPr>
          <w:color w:val="231F20"/>
          <w:spacing w:val="12"/>
          <w:sz w:val="16"/>
        </w:rPr>
        <w:t> </w:t>
      </w:r>
      <w:r>
        <w:rPr>
          <w:color w:val="231F20"/>
          <w:sz w:val="16"/>
        </w:rPr>
        <w:t>or</w:t>
      </w:r>
      <w:r>
        <w:rPr>
          <w:color w:val="231F20"/>
          <w:spacing w:val="12"/>
          <w:sz w:val="16"/>
        </w:rPr>
        <w:t> </w:t>
      </w:r>
      <w:r>
        <w:rPr>
          <w:color w:val="231F20"/>
          <w:sz w:val="16"/>
        </w:rPr>
        <w:t>more</w:t>
      </w:r>
      <w:r>
        <w:rPr>
          <w:color w:val="231F20"/>
          <w:spacing w:val="12"/>
          <w:sz w:val="16"/>
        </w:rPr>
        <w:t> </w:t>
      </w:r>
      <w:r>
        <w:rPr>
          <w:color w:val="231F20"/>
          <w:sz w:val="16"/>
        </w:rPr>
        <w:t>than</w:t>
      </w:r>
      <w:r>
        <w:rPr>
          <w:color w:val="231F20"/>
          <w:spacing w:val="12"/>
          <w:sz w:val="16"/>
        </w:rPr>
        <w:t> </w:t>
      </w:r>
      <w:r>
        <w:rPr>
          <w:color w:val="231F20"/>
          <w:sz w:val="16"/>
        </w:rPr>
        <w:t>one</w:t>
      </w:r>
      <w:r>
        <w:rPr>
          <w:color w:val="231F20"/>
          <w:spacing w:val="12"/>
          <w:sz w:val="16"/>
        </w:rPr>
        <w:t> </w:t>
      </w:r>
      <w:r>
        <w:rPr>
          <w:color w:val="231F20"/>
          <w:sz w:val="16"/>
        </w:rPr>
        <w:t>proxy</w:t>
      </w:r>
      <w:r>
        <w:rPr>
          <w:color w:val="231F20"/>
          <w:spacing w:val="12"/>
          <w:sz w:val="16"/>
        </w:rPr>
        <w:t> </w:t>
      </w:r>
      <w:r>
        <w:rPr>
          <w:color w:val="231F20"/>
          <w:sz w:val="16"/>
        </w:rPr>
        <w:t>to</w:t>
      </w:r>
      <w:r>
        <w:rPr>
          <w:color w:val="231F20"/>
          <w:spacing w:val="12"/>
          <w:sz w:val="16"/>
        </w:rPr>
        <w:t> </w:t>
      </w:r>
      <w:r>
        <w:rPr>
          <w:color w:val="231F20"/>
          <w:sz w:val="16"/>
        </w:rPr>
        <w:t>attend</w:t>
      </w:r>
      <w:r>
        <w:rPr>
          <w:color w:val="231F20"/>
          <w:spacing w:val="40"/>
          <w:sz w:val="16"/>
        </w:rPr>
        <w:t> </w:t>
      </w:r>
      <w:r>
        <w:rPr>
          <w:color w:val="231F20"/>
          <w:sz w:val="16"/>
        </w:rPr>
        <w:t>and</w:t>
      </w:r>
      <w:r>
        <w:rPr>
          <w:color w:val="231F20"/>
          <w:spacing w:val="31"/>
          <w:sz w:val="16"/>
        </w:rPr>
        <w:t> </w:t>
      </w:r>
      <w:r>
        <w:rPr>
          <w:color w:val="231F20"/>
          <w:sz w:val="16"/>
        </w:rPr>
        <w:t>vote</w:t>
      </w:r>
      <w:r>
        <w:rPr>
          <w:color w:val="231F20"/>
          <w:spacing w:val="31"/>
          <w:sz w:val="16"/>
        </w:rPr>
        <w:t> </w:t>
      </w:r>
      <w:r>
        <w:rPr>
          <w:color w:val="231F20"/>
          <w:sz w:val="16"/>
        </w:rPr>
        <w:t>on</w:t>
      </w:r>
      <w:r>
        <w:rPr>
          <w:color w:val="231F20"/>
          <w:spacing w:val="31"/>
          <w:sz w:val="16"/>
        </w:rPr>
        <w:t> </w:t>
      </w:r>
      <w:r>
        <w:rPr>
          <w:color w:val="231F20"/>
          <w:sz w:val="16"/>
        </w:rPr>
        <w:t>his/her</w:t>
      </w:r>
      <w:r>
        <w:rPr>
          <w:color w:val="231F20"/>
          <w:spacing w:val="31"/>
          <w:sz w:val="16"/>
        </w:rPr>
        <w:t> </w:t>
      </w:r>
      <w:r>
        <w:rPr>
          <w:color w:val="231F20"/>
          <w:sz w:val="16"/>
        </w:rPr>
        <w:t>behalf.</w:t>
      </w:r>
      <w:r>
        <w:rPr>
          <w:color w:val="231F20"/>
          <w:spacing w:val="31"/>
          <w:sz w:val="16"/>
        </w:rPr>
        <w:t> </w:t>
      </w:r>
      <w:r>
        <w:rPr>
          <w:color w:val="231F20"/>
          <w:sz w:val="16"/>
        </w:rPr>
        <w:t>A</w:t>
      </w:r>
      <w:r>
        <w:rPr>
          <w:color w:val="231F20"/>
          <w:spacing w:val="31"/>
          <w:sz w:val="16"/>
        </w:rPr>
        <w:t> </w:t>
      </w:r>
      <w:r>
        <w:rPr>
          <w:color w:val="231F20"/>
          <w:sz w:val="16"/>
        </w:rPr>
        <w:t>proxy</w:t>
      </w:r>
      <w:r>
        <w:rPr>
          <w:color w:val="231F20"/>
          <w:spacing w:val="31"/>
          <w:sz w:val="16"/>
        </w:rPr>
        <w:t> </w:t>
      </w:r>
      <w:r>
        <w:rPr>
          <w:color w:val="231F20"/>
          <w:sz w:val="16"/>
        </w:rPr>
        <w:t>needs</w:t>
      </w:r>
      <w:r>
        <w:rPr>
          <w:color w:val="231F20"/>
          <w:spacing w:val="31"/>
          <w:sz w:val="16"/>
        </w:rPr>
        <w:t> </w:t>
      </w:r>
      <w:r>
        <w:rPr>
          <w:color w:val="231F20"/>
          <w:sz w:val="16"/>
        </w:rPr>
        <w:t>not</w:t>
      </w:r>
      <w:r>
        <w:rPr>
          <w:color w:val="231F20"/>
          <w:spacing w:val="31"/>
          <w:sz w:val="16"/>
        </w:rPr>
        <w:t> </w:t>
      </w:r>
      <w:r>
        <w:rPr>
          <w:color w:val="231F20"/>
          <w:sz w:val="16"/>
        </w:rPr>
        <w:t>be</w:t>
      </w:r>
      <w:r>
        <w:rPr>
          <w:color w:val="231F20"/>
          <w:spacing w:val="31"/>
          <w:sz w:val="16"/>
        </w:rPr>
        <w:t> </w:t>
      </w:r>
      <w:r>
        <w:rPr>
          <w:color w:val="231F20"/>
          <w:sz w:val="16"/>
        </w:rPr>
        <w:t>a</w:t>
      </w:r>
      <w:r>
        <w:rPr>
          <w:color w:val="231F20"/>
          <w:spacing w:val="31"/>
          <w:sz w:val="16"/>
        </w:rPr>
        <w:t> </w:t>
      </w:r>
      <w:r>
        <w:rPr>
          <w:color w:val="231F20"/>
          <w:sz w:val="16"/>
        </w:rPr>
        <w:t>member</w:t>
      </w:r>
      <w:r>
        <w:rPr>
          <w:color w:val="231F20"/>
          <w:spacing w:val="31"/>
          <w:sz w:val="16"/>
        </w:rPr>
        <w:t> </w:t>
      </w:r>
      <w:r>
        <w:rPr>
          <w:color w:val="231F20"/>
          <w:sz w:val="16"/>
        </w:rPr>
        <w:t>of</w:t>
      </w:r>
      <w:r>
        <w:rPr>
          <w:color w:val="231F20"/>
          <w:spacing w:val="31"/>
          <w:sz w:val="16"/>
        </w:rPr>
        <w:t> </w:t>
      </w:r>
      <w:r>
        <w:rPr>
          <w:color w:val="231F20"/>
          <w:sz w:val="16"/>
        </w:rPr>
        <w:t>the</w:t>
      </w:r>
      <w:r>
        <w:rPr>
          <w:color w:val="231F20"/>
          <w:spacing w:val="31"/>
          <w:sz w:val="16"/>
        </w:rPr>
        <w:t> </w:t>
      </w:r>
      <w:r>
        <w:rPr>
          <w:color w:val="231F20"/>
          <w:sz w:val="16"/>
        </w:rPr>
        <w:t>Company.</w:t>
      </w:r>
    </w:p>
    <w:p>
      <w:pPr>
        <w:pStyle w:val="BodyText"/>
        <w:spacing w:before="34"/>
        <w:rPr>
          <w:sz w:val="16"/>
        </w:rPr>
      </w:pPr>
    </w:p>
    <w:p>
      <w:pPr>
        <w:pStyle w:val="ListParagraph"/>
        <w:numPr>
          <w:ilvl w:val="0"/>
          <w:numId w:val="11"/>
        </w:numPr>
        <w:tabs>
          <w:tab w:pos="709" w:val="left" w:leader="none"/>
        </w:tabs>
        <w:spacing w:line="288" w:lineRule="auto" w:before="0" w:after="0"/>
        <w:ind w:left="709" w:right="136" w:hanging="567"/>
        <w:jc w:val="both"/>
        <w:rPr>
          <w:sz w:val="16"/>
        </w:rPr>
      </w:pPr>
      <w:r>
        <w:rPr>
          <w:color w:val="231F20"/>
          <w:sz w:val="16"/>
        </w:rPr>
        <w:t>To</w:t>
      </w:r>
      <w:r>
        <w:rPr>
          <w:color w:val="231F20"/>
          <w:spacing w:val="28"/>
          <w:sz w:val="16"/>
        </w:rPr>
        <w:t> </w:t>
      </w:r>
      <w:r>
        <w:rPr>
          <w:color w:val="231F20"/>
          <w:sz w:val="16"/>
        </w:rPr>
        <w:t>be</w:t>
      </w:r>
      <w:r>
        <w:rPr>
          <w:color w:val="231F20"/>
          <w:spacing w:val="28"/>
          <w:sz w:val="16"/>
        </w:rPr>
        <w:t> </w:t>
      </w:r>
      <w:r>
        <w:rPr>
          <w:color w:val="231F20"/>
          <w:sz w:val="16"/>
        </w:rPr>
        <w:t>valid,</w:t>
      </w:r>
      <w:r>
        <w:rPr>
          <w:color w:val="231F20"/>
          <w:spacing w:val="28"/>
          <w:sz w:val="16"/>
        </w:rPr>
        <w:t> </w:t>
      </w:r>
      <w:r>
        <w:rPr>
          <w:color w:val="231F20"/>
          <w:sz w:val="16"/>
        </w:rPr>
        <w:t>the</w:t>
      </w:r>
      <w:r>
        <w:rPr>
          <w:color w:val="231F20"/>
          <w:spacing w:val="28"/>
          <w:sz w:val="16"/>
        </w:rPr>
        <w:t> </w:t>
      </w:r>
      <w:r>
        <w:rPr>
          <w:color w:val="231F20"/>
          <w:sz w:val="16"/>
        </w:rPr>
        <w:t>form</w:t>
      </w:r>
      <w:r>
        <w:rPr>
          <w:color w:val="231F20"/>
          <w:spacing w:val="28"/>
          <w:sz w:val="16"/>
        </w:rPr>
        <w:t> </w:t>
      </w:r>
      <w:r>
        <w:rPr>
          <w:color w:val="231F20"/>
          <w:sz w:val="16"/>
        </w:rPr>
        <w:t>of</w:t>
      </w:r>
      <w:r>
        <w:rPr>
          <w:color w:val="231F20"/>
          <w:spacing w:val="28"/>
          <w:sz w:val="16"/>
        </w:rPr>
        <w:t> </w:t>
      </w:r>
      <w:r>
        <w:rPr>
          <w:color w:val="231F20"/>
          <w:sz w:val="16"/>
        </w:rPr>
        <w:t>proxy</w:t>
      </w:r>
      <w:r>
        <w:rPr>
          <w:color w:val="231F20"/>
          <w:spacing w:val="28"/>
          <w:sz w:val="16"/>
        </w:rPr>
        <w:t> </w:t>
      </w:r>
      <w:r>
        <w:rPr>
          <w:color w:val="231F20"/>
          <w:sz w:val="16"/>
        </w:rPr>
        <w:t>and</w:t>
      </w:r>
      <w:r>
        <w:rPr>
          <w:color w:val="231F20"/>
          <w:spacing w:val="28"/>
          <w:sz w:val="16"/>
        </w:rPr>
        <w:t> </w:t>
      </w:r>
      <w:r>
        <w:rPr>
          <w:color w:val="231F20"/>
          <w:sz w:val="16"/>
        </w:rPr>
        <w:t>the</w:t>
      </w:r>
      <w:r>
        <w:rPr>
          <w:color w:val="231F20"/>
          <w:spacing w:val="28"/>
          <w:sz w:val="16"/>
        </w:rPr>
        <w:t> </w:t>
      </w:r>
      <w:r>
        <w:rPr>
          <w:color w:val="231F20"/>
          <w:sz w:val="16"/>
        </w:rPr>
        <w:t>power</w:t>
      </w:r>
      <w:r>
        <w:rPr>
          <w:color w:val="231F20"/>
          <w:spacing w:val="28"/>
          <w:sz w:val="16"/>
        </w:rPr>
        <w:t> </w:t>
      </w:r>
      <w:r>
        <w:rPr>
          <w:color w:val="231F20"/>
          <w:sz w:val="16"/>
        </w:rPr>
        <w:t>of</w:t>
      </w:r>
      <w:r>
        <w:rPr>
          <w:color w:val="231F20"/>
          <w:spacing w:val="28"/>
          <w:sz w:val="16"/>
        </w:rPr>
        <w:t> </w:t>
      </w:r>
      <w:r>
        <w:rPr>
          <w:color w:val="231F20"/>
          <w:sz w:val="16"/>
        </w:rPr>
        <w:t>attorney</w:t>
      </w:r>
      <w:r>
        <w:rPr>
          <w:color w:val="231F20"/>
          <w:spacing w:val="28"/>
          <w:sz w:val="16"/>
        </w:rPr>
        <w:t> </w:t>
      </w:r>
      <w:r>
        <w:rPr>
          <w:color w:val="231F20"/>
          <w:sz w:val="16"/>
        </w:rPr>
        <w:t>or</w:t>
      </w:r>
      <w:r>
        <w:rPr>
          <w:color w:val="231F20"/>
          <w:spacing w:val="28"/>
          <w:sz w:val="16"/>
        </w:rPr>
        <w:t> </w:t>
      </w:r>
      <w:r>
        <w:rPr>
          <w:color w:val="231F20"/>
          <w:sz w:val="16"/>
        </w:rPr>
        <w:t>other</w:t>
      </w:r>
      <w:r>
        <w:rPr>
          <w:color w:val="231F20"/>
          <w:spacing w:val="28"/>
          <w:sz w:val="16"/>
        </w:rPr>
        <w:t> </w:t>
      </w:r>
      <w:r>
        <w:rPr>
          <w:color w:val="231F20"/>
          <w:sz w:val="16"/>
        </w:rPr>
        <w:t>authority,</w:t>
      </w:r>
      <w:r>
        <w:rPr>
          <w:color w:val="231F20"/>
          <w:spacing w:val="28"/>
          <w:sz w:val="16"/>
        </w:rPr>
        <w:t> </w:t>
      </w:r>
      <w:r>
        <w:rPr>
          <w:color w:val="231F20"/>
          <w:sz w:val="16"/>
        </w:rPr>
        <w:t>if</w:t>
      </w:r>
      <w:r>
        <w:rPr>
          <w:color w:val="231F20"/>
          <w:spacing w:val="28"/>
          <w:sz w:val="16"/>
        </w:rPr>
        <w:t> </w:t>
      </w:r>
      <w:r>
        <w:rPr>
          <w:color w:val="231F20"/>
          <w:sz w:val="16"/>
        </w:rPr>
        <w:t>any,</w:t>
      </w:r>
      <w:r>
        <w:rPr>
          <w:color w:val="231F20"/>
          <w:spacing w:val="28"/>
          <w:sz w:val="16"/>
        </w:rPr>
        <w:t> </w:t>
      </w:r>
      <w:r>
        <w:rPr>
          <w:color w:val="231F20"/>
          <w:sz w:val="16"/>
        </w:rPr>
        <w:t>under</w:t>
      </w:r>
      <w:r>
        <w:rPr>
          <w:color w:val="231F20"/>
          <w:spacing w:val="28"/>
          <w:sz w:val="16"/>
        </w:rPr>
        <w:t> </w:t>
      </w:r>
      <w:r>
        <w:rPr>
          <w:color w:val="231F20"/>
          <w:sz w:val="16"/>
        </w:rPr>
        <w:t>which</w:t>
      </w:r>
      <w:r>
        <w:rPr>
          <w:color w:val="231F20"/>
          <w:spacing w:val="28"/>
          <w:sz w:val="16"/>
        </w:rPr>
        <w:t> </w:t>
      </w:r>
      <w:r>
        <w:rPr>
          <w:color w:val="231F20"/>
          <w:sz w:val="16"/>
        </w:rPr>
        <w:t>it</w:t>
      </w:r>
      <w:r>
        <w:rPr>
          <w:color w:val="231F20"/>
          <w:spacing w:val="28"/>
          <w:sz w:val="16"/>
        </w:rPr>
        <w:t> </w:t>
      </w:r>
      <w:r>
        <w:rPr>
          <w:color w:val="231F20"/>
          <w:sz w:val="16"/>
        </w:rPr>
        <w:t>is</w:t>
      </w:r>
      <w:r>
        <w:rPr>
          <w:color w:val="231F20"/>
          <w:spacing w:val="28"/>
          <w:sz w:val="16"/>
        </w:rPr>
        <w:t> </w:t>
      </w:r>
      <w:r>
        <w:rPr>
          <w:color w:val="231F20"/>
          <w:sz w:val="16"/>
        </w:rPr>
        <w:t>signed</w:t>
      </w:r>
      <w:r>
        <w:rPr>
          <w:color w:val="231F20"/>
          <w:spacing w:val="28"/>
          <w:sz w:val="16"/>
        </w:rPr>
        <w:t> </w:t>
      </w:r>
      <w:r>
        <w:rPr>
          <w:color w:val="231F20"/>
          <w:sz w:val="16"/>
        </w:rPr>
        <w:t>or</w:t>
      </w:r>
      <w:r>
        <w:rPr>
          <w:color w:val="231F20"/>
          <w:spacing w:val="28"/>
          <w:sz w:val="16"/>
        </w:rPr>
        <w:t> </w:t>
      </w:r>
      <w:r>
        <w:rPr>
          <w:color w:val="231F20"/>
          <w:sz w:val="16"/>
        </w:rPr>
        <w:t>a</w:t>
      </w:r>
      <w:r>
        <w:rPr>
          <w:color w:val="231F20"/>
          <w:spacing w:val="28"/>
          <w:sz w:val="16"/>
        </w:rPr>
        <w:t> </w:t>
      </w:r>
      <w:r>
        <w:rPr>
          <w:color w:val="231F20"/>
          <w:sz w:val="16"/>
        </w:rPr>
        <w:t>notarially</w:t>
      </w:r>
      <w:r>
        <w:rPr>
          <w:color w:val="231F20"/>
          <w:spacing w:val="40"/>
          <w:sz w:val="16"/>
        </w:rPr>
        <w:t> </w:t>
      </w:r>
      <w:r>
        <w:rPr>
          <w:color w:val="231F20"/>
          <w:sz w:val="16"/>
        </w:rPr>
        <w:t>certified copy of such authority, must be deposited at the Company’s H share registrar, Computershare Hong Kong Investor</w:t>
      </w:r>
      <w:r>
        <w:rPr>
          <w:color w:val="231F20"/>
          <w:spacing w:val="80"/>
          <w:sz w:val="16"/>
        </w:rPr>
        <w:t> </w:t>
      </w:r>
      <w:r>
        <w:rPr>
          <w:color w:val="231F20"/>
          <w:sz w:val="16"/>
        </w:rPr>
        <w:t>Services</w:t>
      </w:r>
      <w:r>
        <w:rPr>
          <w:color w:val="231F20"/>
          <w:spacing w:val="28"/>
          <w:sz w:val="16"/>
        </w:rPr>
        <w:t> </w:t>
      </w:r>
      <w:r>
        <w:rPr>
          <w:color w:val="231F20"/>
          <w:sz w:val="16"/>
        </w:rPr>
        <w:t>Limited,</w:t>
      </w:r>
      <w:r>
        <w:rPr>
          <w:color w:val="231F20"/>
          <w:spacing w:val="28"/>
          <w:sz w:val="16"/>
        </w:rPr>
        <w:t> </w:t>
      </w:r>
      <w:r>
        <w:rPr>
          <w:color w:val="231F20"/>
          <w:sz w:val="16"/>
        </w:rPr>
        <w:t>at</w:t>
      </w:r>
      <w:r>
        <w:rPr>
          <w:color w:val="231F20"/>
          <w:spacing w:val="28"/>
          <w:sz w:val="16"/>
        </w:rPr>
        <w:t> </w:t>
      </w:r>
      <w:r>
        <w:rPr>
          <w:color w:val="231F20"/>
          <w:sz w:val="16"/>
        </w:rPr>
        <w:t>17M</w:t>
      </w:r>
      <w:r>
        <w:rPr>
          <w:color w:val="231F20"/>
          <w:spacing w:val="28"/>
          <w:sz w:val="16"/>
        </w:rPr>
        <w:t> </w:t>
      </w:r>
      <w:r>
        <w:rPr>
          <w:color w:val="231F20"/>
          <w:sz w:val="16"/>
        </w:rPr>
        <w:t>Floor,</w:t>
      </w:r>
      <w:r>
        <w:rPr>
          <w:color w:val="231F20"/>
          <w:spacing w:val="28"/>
          <w:sz w:val="16"/>
        </w:rPr>
        <w:t> </w:t>
      </w:r>
      <w:r>
        <w:rPr>
          <w:color w:val="231F20"/>
          <w:sz w:val="16"/>
        </w:rPr>
        <w:t>Hopewell</w:t>
      </w:r>
      <w:r>
        <w:rPr>
          <w:color w:val="231F20"/>
          <w:spacing w:val="28"/>
          <w:sz w:val="16"/>
        </w:rPr>
        <w:t> </w:t>
      </w:r>
      <w:r>
        <w:rPr>
          <w:color w:val="231F20"/>
          <w:sz w:val="16"/>
        </w:rPr>
        <w:t>Centre,</w:t>
      </w:r>
      <w:r>
        <w:rPr>
          <w:color w:val="231F20"/>
          <w:spacing w:val="28"/>
          <w:sz w:val="16"/>
        </w:rPr>
        <w:t> </w:t>
      </w:r>
      <w:r>
        <w:rPr>
          <w:color w:val="231F20"/>
          <w:sz w:val="16"/>
        </w:rPr>
        <w:t>183</w:t>
      </w:r>
      <w:r>
        <w:rPr>
          <w:color w:val="231F20"/>
          <w:spacing w:val="28"/>
          <w:sz w:val="16"/>
        </w:rPr>
        <w:t> </w:t>
      </w:r>
      <w:r>
        <w:rPr>
          <w:color w:val="231F20"/>
          <w:sz w:val="16"/>
        </w:rPr>
        <w:t>Queen’s</w:t>
      </w:r>
      <w:r>
        <w:rPr>
          <w:color w:val="231F20"/>
          <w:spacing w:val="28"/>
          <w:sz w:val="16"/>
        </w:rPr>
        <w:t> </w:t>
      </w:r>
      <w:r>
        <w:rPr>
          <w:color w:val="231F20"/>
          <w:sz w:val="16"/>
        </w:rPr>
        <w:t>Road</w:t>
      </w:r>
      <w:r>
        <w:rPr>
          <w:color w:val="231F20"/>
          <w:spacing w:val="28"/>
          <w:sz w:val="16"/>
        </w:rPr>
        <w:t> </w:t>
      </w:r>
      <w:r>
        <w:rPr>
          <w:color w:val="231F20"/>
          <w:sz w:val="16"/>
        </w:rPr>
        <w:t>East,</w:t>
      </w:r>
      <w:r>
        <w:rPr>
          <w:color w:val="231F20"/>
          <w:spacing w:val="28"/>
          <w:sz w:val="16"/>
        </w:rPr>
        <w:t> </w:t>
      </w:r>
      <w:r>
        <w:rPr>
          <w:color w:val="231F20"/>
          <w:sz w:val="16"/>
        </w:rPr>
        <w:t>Wanchai,</w:t>
      </w:r>
      <w:r>
        <w:rPr>
          <w:color w:val="231F20"/>
          <w:spacing w:val="28"/>
          <w:sz w:val="16"/>
        </w:rPr>
        <w:t> </w:t>
      </w:r>
      <w:r>
        <w:rPr>
          <w:color w:val="231F20"/>
          <w:sz w:val="16"/>
        </w:rPr>
        <w:t>Hong</w:t>
      </w:r>
      <w:r>
        <w:rPr>
          <w:color w:val="231F20"/>
          <w:spacing w:val="28"/>
          <w:sz w:val="16"/>
        </w:rPr>
        <w:t> </w:t>
      </w:r>
      <w:r>
        <w:rPr>
          <w:color w:val="231F20"/>
          <w:sz w:val="16"/>
        </w:rPr>
        <w:t>Kong</w:t>
      </w:r>
      <w:r>
        <w:rPr>
          <w:color w:val="231F20"/>
          <w:spacing w:val="28"/>
          <w:sz w:val="16"/>
        </w:rPr>
        <w:t> </w:t>
      </w:r>
      <w:r>
        <w:rPr>
          <w:color w:val="231F20"/>
          <w:sz w:val="16"/>
        </w:rPr>
        <w:t>as</w:t>
      </w:r>
      <w:r>
        <w:rPr>
          <w:color w:val="231F20"/>
          <w:spacing w:val="28"/>
          <w:sz w:val="16"/>
        </w:rPr>
        <w:t> </w:t>
      </w:r>
      <w:r>
        <w:rPr>
          <w:color w:val="231F20"/>
          <w:sz w:val="16"/>
        </w:rPr>
        <w:t>soon</w:t>
      </w:r>
      <w:r>
        <w:rPr>
          <w:color w:val="231F20"/>
          <w:spacing w:val="28"/>
          <w:sz w:val="16"/>
        </w:rPr>
        <w:t> </w:t>
      </w:r>
      <w:r>
        <w:rPr>
          <w:color w:val="231F20"/>
          <w:sz w:val="16"/>
        </w:rPr>
        <w:t>as</w:t>
      </w:r>
      <w:r>
        <w:rPr>
          <w:color w:val="231F20"/>
          <w:spacing w:val="28"/>
          <w:sz w:val="16"/>
        </w:rPr>
        <w:t> </w:t>
      </w:r>
      <w:r>
        <w:rPr>
          <w:color w:val="231F20"/>
          <w:sz w:val="16"/>
        </w:rPr>
        <w:t>possible</w:t>
      </w:r>
      <w:r>
        <w:rPr>
          <w:color w:val="231F20"/>
          <w:spacing w:val="28"/>
          <w:sz w:val="16"/>
        </w:rPr>
        <w:t> </w:t>
      </w:r>
      <w:r>
        <w:rPr>
          <w:color w:val="231F20"/>
          <w:sz w:val="16"/>
        </w:rPr>
        <w:t>and</w:t>
      </w:r>
      <w:r>
        <w:rPr>
          <w:color w:val="231F20"/>
          <w:spacing w:val="28"/>
          <w:sz w:val="16"/>
        </w:rPr>
        <w:t> </w:t>
      </w:r>
      <w:r>
        <w:rPr>
          <w:color w:val="231F20"/>
          <w:sz w:val="16"/>
        </w:rPr>
        <w:t>in</w:t>
      </w:r>
      <w:r>
        <w:rPr>
          <w:color w:val="231F20"/>
          <w:spacing w:val="40"/>
          <w:sz w:val="16"/>
        </w:rPr>
        <w:t> </w:t>
      </w:r>
      <w:r>
        <w:rPr>
          <w:color w:val="231F20"/>
          <w:sz w:val="16"/>
        </w:rPr>
        <w:t>any</w:t>
      </w:r>
      <w:r>
        <w:rPr>
          <w:color w:val="231F20"/>
          <w:spacing w:val="30"/>
          <w:sz w:val="16"/>
        </w:rPr>
        <w:t> </w:t>
      </w:r>
      <w:r>
        <w:rPr>
          <w:color w:val="231F20"/>
          <w:sz w:val="16"/>
        </w:rPr>
        <w:t>event</w:t>
      </w:r>
      <w:r>
        <w:rPr>
          <w:color w:val="231F20"/>
          <w:spacing w:val="30"/>
          <w:sz w:val="16"/>
        </w:rPr>
        <w:t> </w:t>
      </w:r>
      <w:r>
        <w:rPr>
          <w:color w:val="231F20"/>
          <w:sz w:val="16"/>
        </w:rPr>
        <w:t>not</w:t>
      </w:r>
      <w:r>
        <w:rPr>
          <w:color w:val="231F20"/>
          <w:spacing w:val="30"/>
          <w:sz w:val="16"/>
        </w:rPr>
        <w:t> </w:t>
      </w:r>
      <w:r>
        <w:rPr>
          <w:color w:val="231F20"/>
          <w:sz w:val="16"/>
        </w:rPr>
        <w:t>less</w:t>
      </w:r>
      <w:r>
        <w:rPr>
          <w:color w:val="231F20"/>
          <w:spacing w:val="30"/>
          <w:sz w:val="16"/>
        </w:rPr>
        <w:t> </w:t>
      </w:r>
      <w:r>
        <w:rPr>
          <w:color w:val="231F20"/>
          <w:sz w:val="16"/>
        </w:rPr>
        <w:t>than</w:t>
      </w:r>
      <w:r>
        <w:rPr>
          <w:color w:val="231F20"/>
          <w:spacing w:val="30"/>
          <w:sz w:val="16"/>
        </w:rPr>
        <w:t> </w:t>
      </w:r>
      <w:r>
        <w:rPr>
          <w:color w:val="231F20"/>
          <w:sz w:val="16"/>
        </w:rPr>
        <w:t>24</w:t>
      </w:r>
      <w:r>
        <w:rPr>
          <w:color w:val="231F20"/>
          <w:spacing w:val="30"/>
          <w:sz w:val="16"/>
        </w:rPr>
        <w:t> </w:t>
      </w:r>
      <w:r>
        <w:rPr>
          <w:color w:val="231F20"/>
          <w:sz w:val="16"/>
        </w:rPr>
        <w:t>hours</w:t>
      </w:r>
      <w:r>
        <w:rPr>
          <w:color w:val="231F20"/>
          <w:spacing w:val="30"/>
          <w:sz w:val="16"/>
        </w:rPr>
        <w:t> </w:t>
      </w:r>
      <w:r>
        <w:rPr>
          <w:color w:val="231F20"/>
          <w:sz w:val="16"/>
        </w:rPr>
        <w:t>before</w:t>
      </w:r>
      <w:r>
        <w:rPr>
          <w:color w:val="231F20"/>
          <w:spacing w:val="30"/>
          <w:sz w:val="16"/>
        </w:rPr>
        <w:t> </w:t>
      </w:r>
      <w:r>
        <w:rPr>
          <w:color w:val="231F20"/>
          <w:sz w:val="16"/>
        </w:rPr>
        <w:t>the</w:t>
      </w:r>
      <w:r>
        <w:rPr>
          <w:color w:val="231F20"/>
          <w:spacing w:val="30"/>
          <w:sz w:val="16"/>
        </w:rPr>
        <w:t> </w:t>
      </w:r>
      <w:r>
        <w:rPr>
          <w:color w:val="231F20"/>
          <w:sz w:val="16"/>
        </w:rPr>
        <w:t>time</w:t>
      </w:r>
      <w:r>
        <w:rPr>
          <w:color w:val="231F20"/>
          <w:spacing w:val="30"/>
          <w:sz w:val="16"/>
        </w:rPr>
        <w:t> </w:t>
      </w:r>
      <w:r>
        <w:rPr>
          <w:color w:val="231F20"/>
          <w:sz w:val="16"/>
        </w:rPr>
        <w:t>for</w:t>
      </w:r>
      <w:r>
        <w:rPr>
          <w:color w:val="231F20"/>
          <w:spacing w:val="30"/>
          <w:sz w:val="16"/>
        </w:rPr>
        <w:t> </w:t>
      </w:r>
      <w:r>
        <w:rPr>
          <w:color w:val="231F20"/>
          <w:sz w:val="16"/>
        </w:rPr>
        <w:t>holding</w:t>
      </w:r>
      <w:r>
        <w:rPr>
          <w:color w:val="231F20"/>
          <w:spacing w:val="30"/>
          <w:sz w:val="16"/>
        </w:rPr>
        <w:t> </w:t>
      </w:r>
      <w:r>
        <w:rPr>
          <w:color w:val="231F20"/>
          <w:sz w:val="16"/>
        </w:rPr>
        <w:t>of</w:t>
      </w:r>
      <w:r>
        <w:rPr>
          <w:color w:val="231F20"/>
          <w:spacing w:val="30"/>
          <w:sz w:val="16"/>
        </w:rPr>
        <w:t> </w:t>
      </w:r>
      <w:r>
        <w:rPr>
          <w:color w:val="231F20"/>
          <w:sz w:val="16"/>
        </w:rPr>
        <w:t>the</w:t>
      </w:r>
      <w:r>
        <w:rPr>
          <w:color w:val="231F20"/>
          <w:spacing w:val="30"/>
          <w:sz w:val="16"/>
        </w:rPr>
        <w:t> </w:t>
      </w:r>
      <w:r>
        <w:rPr>
          <w:color w:val="231F20"/>
          <w:sz w:val="16"/>
        </w:rPr>
        <w:t>meeting</w:t>
      </w:r>
      <w:r>
        <w:rPr>
          <w:color w:val="231F20"/>
          <w:spacing w:val="30"/>
          <w:sz w:val="16"/>
        </w:rPr>
        <w:t> </w:t>
      </w:r>
      <w:r>
        <w:rPr>
          <w:color w:val="231F20"/>
          <w:sz w:val="16"/>
        </w:rPr>
        <w:t>or</w:t>
      </w:r>
      <w:r>
        <w:rPr>
          <w:color w:val="231F20"/>
          <w:spacing w:val="30"/>
          <w:sz w:val="16"/>
        </w:rPr>
        <w:t> </w:t>
      </w:r>
      <w:r>
        <w:rPr>
          <w:color w:val="231F20"/>
          <w:sz w:val="16"/>
        </w:rPr>
        <w:t>any</w:t>
      </w:r>
      <w:r>
        <w:rPr>
          <w:color w:val="231F20"/>
          <w:spacing w:val="30"/>
          <w:sz w:val="16"/>
        </w:rPr>
        <w:t> </w:t>
      </w:r>
      <w:r>
        <w:rPr>
          <w:color w:val="231F20"/>
          <w:sz w:val="16"/>
        </w:rPr>
        <w:t>adjournment</w:t>
      </w:r>
      <w:r>
        <w:rPr>
          <w:color w:val="231F20"/>
          <w:spacing w:val="30"/>
          <w:sz w:val="16"/>
        </w:rPr>
        <w:t> </w:t>
      </w:r>
      <w:r>
        <w:rPr>
          <w:color w:val="231F20"/>
          <w:sz w:val="16"/>
        </w:rPr>
        <w:t>thereof.</w:t>
      </w:r>
    </w:p>
    <w:p>
      <w:pPr>
        <w:pStyle w:val="BodyText"/>
        <w:spacing w:before="33"/>
        <w:rPr>
          <w:sz w:val="16"/>
        </w:rPr>
      </w:pPr>
    </w:p>
    <w:p>
      <w:pPr>
        <w:pStyle w:val="ListParagraph"/>
        <w:numPr>
          <w:ilvl w:val="0"/>
          <w:numId w:val="11"/>
        </w:numPr>
        <w:tabs>
          <w:tab w:pos="709" w:val="left" w:leader="none"/>
        </w:tabs>
        <w:spacing w:line="240" w:lineRule="auto" w:before="0" w:after="0"/>
        <w:ind w:left="709" w:right="0" w:hanging="567"/>
        <w:jc w:val="left"/>
        <w:rPr>
          <w:sz w:val="16"/>
        </w:rPr>
      </w:pPr>
      <w:r>
        <w:rPr>
          <w:color w:val="231F20"/>
          <w:sz w:val="16"/>
        </w:rPr>
        <w:t>Shareholders</w:t>
      </w:r>
      <w:r>
        <w:rPr>
          <w:color w:val="231F20"/>
          <w:spacing w:val="25"/>
          <w:sz w:val="16"/>
        </w:rPr>
        <w:t> </w:t>
      </w:r>
      <w:r>
        <w:rPr>
          <w:color w:val="231F20"/>
          <w:sz w:val="16"/>
        </w:rPr>
        <w:t>or</w:t>
      </w:r>
      <w:r>
        <w:rPr>
          <w:color w:val="231F20"/>
          <w:spacing w:val="27"/>
          <w:sz w:val="16"/>
        </w:rPr>
        <w:t> </w:t>
      </w:r>
      <w:r>
        <w:rPr>
          <w:color w:val="231F20"/>
          <w:sz w:val="16"/>
        </w:rPr>
        <w:t>their</w:t>
      </w:r>
      <w:r>
        <w:rPr>
          <w:color w:val="231F20"/>
          <w:spacing w:val="28"/>
          <w:sz w:val="16"/>
        </w:rPr>
        <w:t> </w:t>
      </w:r>
      <w:r>
        <w:rPr>
          <w:color w:val="231F20"/>
          <w:sz w:val="16"/>
        </w:rPr>
        <w:t>proxies</w:t>
      </w:r>
      <w:r>
        <w:rPr>
          <w:color w:val="231F20"/>
          <w:spacing w:val="27"/>
          <w:sz w:val="16"/>
        </w:rPr>
        <w:t> </w:t>
      </w:r>
      <w:r>
        <w:rPr>
          <w:color w:val="231F20"/>
          <w:sz w:val="16"/>
        </w:rPr>
        <w:t>shall</w:t>
      </w:r>
      <w:r>
        <w:rPr>
          <w:color w:val="231F20"/>
          <w:spacing w:val="28"/>
          <w:sz w:val="16"/>
        </w:rPr>
        <w:t> </w:t>
      </w:r>
      <w:r>
        <w:rPr>
          <w:color w:val="231F20"/>
          <w:sz w:val="16"/>
        </w:rPr>
        <w:t>present</w:t>
      </w:r>
      <w:r>
        <w:rPr>
          <w:color w:val="231F20"/>
          <w:spacing w:val="27"/>
          <w:sz w:val="16"/>
        </w:rPr>
        <w:t> </w:t>
      </w:r>
      <w:r>
        <w:rPr>
          <w:color w:val="231F20"/>
          <w:sz w:val="16"/>
        </w:rPr>
        <w:t>proofs</w:t>
      </w:r>
      <w:r>
        <w:rPr>
          <w:color w:val="231F20"/>
          <w:spacing w:val="28"/>
          <w:sz w:val="16"/>
        </w:rPr>
        <w:t> </w:t>
      </w:r>
      <w:r>
        <w:rPr>
          <w:color w:val="231F20"/>
          <w:sz w:val="16"/>
        </w:rPr>
        <w:t>of</w:t>
      </w:r>
      <w:r>
        <w:rPr>
          <w:color w:val="231F20"/>
          <w:spacing w:val="27"/>
          <w:sz w:val="16"/>
        </w:rPr>
        <w:t> </w:t>
      </w:r>
      <w:r>
        <w:rPr>
          <w:color w:val="231F20"/>
          <w:sz w:val="16"/>
        </w:rPr>
        <w:t>identities</w:t>
      </w:r>
      <w:r>
        <w:rPr>
          <w:color w:val="231F20"/>
          <w:spacing w:val="27"/>
          <w:sz w:val="16"/>
        </w:rPr>
        <w:t> </w:t>
      </w:r>
      <w:r>
        <w:rPr>
          <w:color w:val="231F20"/>
          <w:sz w:val="16"/>
        </w:rPr>
        <w:t>when</w:t>
      </w:r>
      <w:r>
        <w:rPr>
          <w:color w:val="231F20"/>
          <w:spacing w:val="28"/>
          <w:sz w:val="16"/>
        </w:rPr>
        <w:t> </w:t>
      </w:r>
      <w:r>
        <w:rPr>
          <w:color w:val="231F20"/>
          <w:sz w:val="16"/>
        </w:rPr>
        <w:t>attending</w:t>
      </w:r>
      <w:r>
        <w:rPr>
          <w:color w:val="231F20"/>
          <w:spacing w:val="27"/>
          <w:sz w:val="16"/>
        </w:rPr>
        <w:t> </w:t>
      </w:r>
      <w:r>
        <w:rPr>
          <w:color w:val="231F20"/>
          <w:sz w:val="16"/>
        </w:rPr>
        <w:t>the</w:t>
      </w:r>
      <w:r>
        <w:rPr>
          <w:color w:val="231F20"/>
          <w:spacing w:val="28"/>
          <w:sz w:val="16"/>
        </w:rPr>
        <w:t> </w:t>
      </w:r>
      <w:r>
        <w:rPr>
          <w:color w:val="231F20"/>
          <w:sz w:val="16"/>
        </w:rPr>
        <w:t>2025</w:t>
      </w:r>
      <w:r>
        <w:rPr>
          <w:color w:val="231F20"/>
          <w:spacing w:val="27"/>
          <w:sz w:val="16"/>
        </w:rPr>
        <w:t> </w:t>
      </w:r>
      <w:r>
        <w:rPr>
          <w:color w:val="231F20"/>
          <w:sz w:val="16"/>
        </w:rPr>
        <w:t>Second</w:t>
      </w:r>
      <w:r>
        <w:rPr>
          <w:color w:val="231F20"/>
          <w:spacing w:val="28"/>
          <w:sz w:val="16"/>
        </w:rPr>
        <w:t> </w:t>
      </w:r>
      <w:r>
        <w:rPr>
          <w:color w:val="231F20"/>
          <w:spacing w:val="-4"/>
          <w:sz w:val="16"/>
        </w:rPr>
        <w:t>EGM.</w:t>
      </w:r>
    </w:p>
    <w:p>
      <w:pPr>
        <w:pStyle w:val="BodyText"/>
        <w:spacing w:before="72"/>
        <w:rPr>
          <w:sz w:val="16"/>
        </w:rPr>
      </w:pPr>
    </w:p>
    <w:p>
      <w:pPr>
        <w:pStyle w:val="ListParagraph"/>
        <w:numPr>
          <w:ilvl w:val="0"/>
          <w:numId w:val="11"/>
        </w:numPr>
        <w:tabs>
          <w:tab w:pos="709" w:val="left" w:leader="none"/>
        </w:tabs>
        <w:spacing w:line="283" w:lineRule="auto" w:before="0" w:after="0"/>
        <w:ind w:left="709" w:right="129" w:hanging="567"/>
        <w:jc w:val="both"/>
        <w:rPr>
          <w:sz w:val="16"/>
        </w:rPr>
      </w:pPr>
      <w:r>
        <w:rPr>
          <w:color w:val="231F20"/>
          <w:sz w:val="16"/>
        </w:rPr>
        <w:t>The holders of A Shares and H Shares will vote as one class of Shareholders. The register of holders for H Shares will be closed</w:t>
      </w:r>
      <w:r>
        <w:rPr>
          <w:color w:val="231F20"/>
          <w:spacing w:val="40"/>
          <w:sz w:val="16"/>
        </w:rPr>
        <w:t> </w:t>
      </w:r>
      <w:r>
        <w:rPr>
          <w:color w:val="231F20"/>
          <w:sz w:val="16"/>
        </w:rPr>
        <w:t>from</w:t>
      </w:r>
      <w:r>
        <w:rPr>
          <w:color w:val="231F20"/>
          <w:spacing w:val="13"/>
          <w:sz w:val="16"/>
        </w:rPr>
        <w:t> </w:t>
      </w:r>
      <w:r>
        <w:rPr>
          <w:color w:val="231F20"/>
          <w:sz w:val="16"/>
        </w:rPr>
        <w:t>Thursday,</w:t>
      </w:r>
      <w:r>
        <w:rPr>
          <w:color w:val="231F20"/>
          <w:spacing w:val="13"/>
          <w:sz w:val="16"/>
        </w:rPr>
        <w:t> </w:t>
      </w:r>
      <w:r>
        <w:rPr>
          <w:color w:val="231F20"/>
          <w:sz w:val="16"/>
        </w:rPr>
        <w:t>September</w:t>
      </w:r>
      <w:r>
        <w:rPr>
          <w:color w:val="231F20"/>
          <w:spacing w:val="13"/>
          <w:sz w:val="16"/>
        </w:rPr>
        <w:t> </w:t>
      </w:r>
      <w:r>
        <w:rPr>
          <w:color w:val="231F20"/>
          <w:sz w:val="16"/>
        </w:rPr>
        <w:t>4,</w:t>
      </w:r>
      <w:r>
        <w:rPr>
          <w:color w:val="231F20"/>
          <w:spacing w:val="13"/>
          <w:sz w:val="16"/>
        </w:rPr>
        <w:t> </w:t>
      </w:r>
      <w:r>
        <w:rPr>
          <w:color w:val="231F20"/>
          <w:sz w:val="16"/>
        </w:rPr>
        <w:t>2025</w:t>
      </w:r>
      <w:r>
        <w:rPr>
          <w:color w:val="231F20"/>
          <w:spacing w:val="13"/>
          <w:sz w:val="16"/>
        </w:rPr>
        <w:t> </w:t>
      </w:r>
      <w:r>
        <w:rPr>
          <w:color w:val="231F20"/>
          <w:sz w:val="16"/>
        </w:rPr>
        <w:t>to</w:t>
      </w:r>
      <w:r>
        <w:rPr>
          <w:color w:val="231F20"/>
          <w:spacing w:val="13"/>
          <w:sz w:val="16"/>
        </w:rPr>
        <w:t> </w:t>
      </w:r>
      <w:r>
        <w:rPr>
          <w:color w:val="231F20"/>
          <w:sz w:val="16"/>
        </w:rPr>
        <w:t>Monday,</w:t>
      </w:r>
      <w:r>
        <w:rPr>
          <w:color w:val="231F20"/>
          <w:spacing w:val="13"/>
          <w:sz w:val="16"/>
        </w:rPr>
        <w:t> </w:t>
      </w:r>
      <w:r>
        <w:rPr>
          <w:color w:val="231F20"/>
          <w:sz w:val="16"/>
        </w:rPr>
        <w:t>September</w:t>
      </w:r>
      <w:r>
        <w:rPr>
          <w:color w:val="231F20"/>
          <w:spacing w:val="13"/>
          <w:sz w:val="16"/>
        </w:rPr>
        <w:t> </w:t>
      </w:r>
      <w:r>
        <w:rPr>
          <w:color w:val="231F20"/>
          <w:sz w:val="16"/>
        </w:rPr>
        <w:t>8,</w:t>
      </w:r>
      <w:r>
        <w:rPr>
          <w:color w:val="231F20"/>
          <w:spacing w:val="13"/>
          <w:sz w:val="16"/>
        </w:rPr>
        <w:t> </w:t>
      </w:r>
      <w:r>
        <w:rPr>
          <w:color w:val="231F20"/>
          <w:sz w:val="16"/>
        </w:rPr>
        <w:t>2025</w:t>
      </w:r>
      <w:r>
        <w:rPr>
          <w:color w:val="231F20"/>
          <w:spacing w:val="13"/>
          <w:sz w:val="16"/>
        </w:rPr>
        <w:t> </w:t>
      </w:r>
      <w:r>
        <w:rPr>
          <w:color w:val="231F20"/>
          <w:sz w:val="16"/>
        </w:rPr>
        <w:t>(both</w:t>
      </w:r>
      <w:r>
        <w:rPr>
          <w:color w:val="231F20"/>
          <w:spacing w:val="13"/>
          <w:sz w:val="16"/>
        </w:rPr>
        <w:t> </w:t>
      </w:r>
      <w:r>
        <w:rPr>
          <w:color w:val="231F20"/>
          <w:sz w:val="16"/>
        </w:rPr>
        <w:t>days</w:t>
      </w:r>
      <w:r>
        <w:rPr>
          <w:color w:val="231F20"/>
          <w:spacing w:val="13"/>
          <w:sz w:val="16"/>
        </w:rPr>
        <w:t> </w:t>
      </w:r>
      <w:r>
        <w:rPr>
          <w:color w:val="231F20"/>
          <w:sz w:val="16"/>
        </w:rPr>
        <w:t>inclusive),</w:t>
      </w:r>
      <w:r>
        <w:rPr>
          <w:color w:val="231F20"/>
          <w:spacing w:val="13"/>
          <w:sz w:val="16"/>
        </w:rPr>
        <w:t> </w:t>
      </w:r>
      <w:r>
        <w:rPr>
          <w:color w:val="231F20"/>
          <w:sz w:val="16"/>
        </w:rPr>
        <w:t>during</w:t>
      </w:r>
      <w:r>
        <w:rPr>
          <w:color w:val="231F20"/>
          <w:spacing w:val="13"/>
          <w:sz w:val="16"/>
        </w:rPr>
        <w:t> </w:t>
      </w:r>
      <w:r>
        <w:rPr>
          <w:color w:val="231F20"/>
          <w:sz w:val="16"/>
        </w:rPr>
        <w:t>which</w:t>
      </w:r>
      <w:r>
        <w:rPr>
          <w:color w:val="231F20"/>
          <w:spacing w:val="13"/>
          <w:sz w:val="16"/>
        </w:rPr>
        <w:t> </w:t>
      </w:r>
      <w:r>
        <w:rPr>
          <w:color w:val="231F20"/>
          <w:sz w:val="16"/>
        </w:rPr>
        <w:t>no</w:t>
      </w:r>
      <w:r>
        <w:rPr>
          <w:color w:val="231F20"/>
          <w:spacing w:val="13"/>
          <w:sz w:val="16"/>
        </w:rPr>
        <w:t> </w:t>
      </w:r>
      <w:r>
        <w:rPr>
          <w:color w:val="231F20"/>
          <w:sz w:val="16"/>
        </w:rPr>
        <w:t>transfer</w:t>
      </w:r>
      <w:r>
        <w:rPr>
          <w:color w:val="231F20"/>
          <w:spacing w:val="13"/>
          <w:sz w:val="16"/>
        </w:rPr>
        <w:t> </w:t>
      </w:r>
      <w:r>
        <w:rPr>
          <w:color w:val="231F20"/>
          <w:sz w:val="16"/>
        </w:rPr>
        <w:t>of</w:t>
      </w:r>
      <w:r>
        <w:rPr>
          <w:color w:val="231F20"/>
          <w:spacing w:val="13"/>
          <w:sz w:val="16"/>
        </w:rPr>
        <w:t> </w:t>
      </w:r>
      <w:r>
        <w:rPr>
          <w:color w:val="231F20"/>
          <w:sz w:val="16"/>
        </w:rPr>
        <w:t>Shares</w:t>
      </w:r>
      <w:r>
        <w:rPr>
          <w:color w:val="231F20"/>
          <w:spacing w:val="13"/>
          <w:sz w:val="16"/>
        </w:rPr>
        <w:t> </w:t>
      </w:r>
      <w:r>
        <w:rPr>
          <w:color w:val="231F20"/>
          <w:sz w:val="16"/>
        </w:rPr>
        <w:t>will</w:t>
      </w:r>
      <w:r>
        <w:rPr>
          <w:color w:val="231F20"/>
          <w:spacing w:val="40"/>
          <w:sz w:val="16"/>
        </w:rPr>
        <w:t> </w:t>
      </w:r>
      <w:r>
        <w:rPr>
          <w:color w:val="231F20"/>
          <w:sz w:val="16"/>
        </w:rPr>
        <w:t>be effected. The holders of H Shares whose names appear on the register of members of the Company on Monday, September 8,</w:t>
      </w:r>
      <w:r>
        <w:rPr>
          <w:color w:val="231F20"/>
          <w:spacing w:val="40"/>
          <w:sz w:val="16"/>
        </w:rPr>
        <w:t> </w:t>
      </w:r>
      <w:r>
        <w:rPr>
          <w:color w:val="231F20"/>
          <w:sz w:val="16"/>
        </w:rPr>
        <w:t>2025</w:t>
      </w:r>
      <w:r>
        <w:rPr>
          <w:color w:val="231F20"/>
          <w:spacing w:val="27"/>
          <w:sz w:val="16"/>
        </w:rPr>
        <w:t> </w:t>
      </w:r>
      <w:r>
        <w:rPr>
          <w:color w:val="231F20"/>
          <w:sz w:val="16"/>
        </w:rPr>
        <w:t>will</w:t>
      </w:r>
      <w:r>
        <w:rPr>
          <w:color w:val="231F20"/>
          <w:spacing w:val="27"/>
          <w:sz w:val="16"/>
        </w:rPr>
        <w:t> </w:t>
      </w:r>
      <w:r>
        <w:rPr>
          <w:color w:val="231F20"/>
          <w:sz w:val="16"/>
        </w:rPr>
        <w:t>be</w:t>
      </w:r>
      <w:r>
        <w:rPr>
          <w:color w:val="231F20"/>
          <w:spacing w:val="27"/>
          <w:sz w:val="16"/>
        </w:rPr>
        <w:t> </w:t>
      </w:r>
      <w:r>
        <w:rPr>
          <w:color w:val="231F20"/>
          <w:sz w:val="16"/>
        </w:rPr>
        <w:t>entitled</w:t>
      </w:r>
      <w:r>
        <w:rPr>
          <w:color w:val="231F20"/>
          <w:spacing w:val="27"/>
          <w:sz w:val="16"/>
        </w:rPr>
        <w:t> </w:t>
      </w:r>
      <w:r>
        <w:rPr>
          <w:color w:val="231F20"/>
          <w:sz w:val="16"/>
        </w:rPr>
        <w:t>to</w:t>
      </w:r>
      <w:r>
        <w:rPr>
          <w:color w:val="231F20"/>
          <w:spacing w:val="27"/>
          <w:sz w:val="16"/>
        </w:rPr>
        <w:t> </w:t>
      </w:r>
      <w:r>
        <w:rPr>
          <w:color w:val="231F20"/>
          <w:sz w:val="16"/>
        </w:rPr>
        <w:t>attend</w:t>
      </w:r>
      <w:r>
        <w:rPr>
          <w:color w:val="231F20"/>
          <w:spacing w:val="27"/>
          <w:sz w:val="16"/>
        </w:rPr>
        <w:t> </w:t>
      </w:r>
      <w:r>
        <w:rPr>
          <w:color w:val="231F20"/>
          <w:sz w:val="16"/>
        </w:rPr>
        <w:t>and</w:t>
      </w:r>
      <w:r>
        <w:rPr>
          <w:color w:val="231F20"/>
          <w:spacing w:val="27"/>
          <w:sz w:val="16"/>
        </w:rPr>
        <w:t> </w:t>
      </w:r>
      <w:r>
        <w:rPr>
          <w:color w:val="231F20"/>
          <w:sz w:val="16"/>
        </w:rPr>
        <w:t>vote</w:t>
      </w:r>
      <w:r>
        <w:rPr>
          <w:color w:val="231F20"/>
          <w:spacing w:val="27"/>
          <w:sz w:val="16"/>
        </w:rPr>
        <w:t> </w:t>
      </w:r>
      <w:r>
        <w:rPr>
          <w:color w:val="231F20"/>
          <w:sz w:val="16"/>
        </w:rPr>
        <w:t>at</w:t>
      </w:r>
      <w:r>
        <w:rPr>
          <w:color w:val="231F20"/>
          <w:spacing w:val="27"/>
          <w:sz w:val="16"/>
        </w:rPr>
        <w:t> </w:t>
      </w:r>
      <w:r>
        <w:rPr>
          <w:color w:val="231F20"/>
          <w:sz w:val="16"/>
        </w:rPr>
        <w:t>the</w:t>
      </w:r>
      <w:r>
        <w:rPr>
          <w:color w:val="231F20"/>
          <w:spacing w:val="27"/>
          <w:sz w:val="16"/>
        </w:rPr>
        <w:t> </w:t>
      </w:r>
      <w:r>
        <w:rPr>
          <w:color w:val="231F20"/>
          <w:sz w:val="16"/>
        </w:rPr>
        <w:t>2025</w:t>
      </w:r>
      <w:r>
        <w:rPr>
          <w:color w:val="231F20"/>
          <w:spacing w:val="27"/>
          <w:sz w:val="16"/>
        </w:rPr>
        <w:t> </w:t>
      </w:r>
      <w:r>
        <w:rPr>
          <w:color w:val="231F20"/>
          <w:sz w:val="16"/>
        </w:rPr>
        <w:t>Second</w:t>
      </w:r>
      <w:r>
        <w:rPr>
          <w:color w:val="231F20"/>
          <w:spacing w:val="27"/>
          <w:sz w:val="16"/>
        </w:rPr>
        <w:t> </w:t>
      </w:r>
      <w:r>
        <w:rPr>
          <w:color w:val="231F20"/>
          <w:sz w:val="16"/>
        </w:rPr>
        <w:t>EGM.</w:t>
      </w:r>
      <w:r>
        <w:rPr>
          <w:color w:val="231F20"/>
          <w:spacing w:val="27"/>
          <w:sz w:val="16"/>
        </w:rPr>
        <w:t> </w:t>
      </w:r>
      <w:r>
        <w:rPr>
          <w:color w:val="231F20"/>
          <w:sz w:val="16"/>
        </w:rPr>
        <w:t>In</w:t>
      </w:r>
      <w:r>
        <w:rPr>
          <w:color w:val="231F20"/>
          <w:spacing w:val="27"/>
          <w:sz w:val="16"/>
        </w:rPr>
        <w:t> </w:t>
      </w:r>
      <w:r>
        <w:rPr>
          <w:color w:val="231F20"/>
          <w:sz w:val="16"/>
        </w:rPr>
        <w:t>order</w:t>
      </w:r>
      <w:r>
        <w:rPr>
          <w:color w:val="231F20"/>
          <w:spacing w:val="27"/>
          <w:sz w:val="16"/>
        </w:rPr>
        <w:t> </w:t>
      </w:r>
      <w:r>
        <w:rPr>
          <w:color w:val="231F20"/>
          <w:sz w:val="16"/>
        </w:rPr>
        <w:t>to</w:t>
      </w:r>
      <w:r>
        <w:rPr>
          <w:color w:val="231F20"/>
          <w:spacing w:val="27"/>
          <w:sz w:val="16"/>
        </w:rPr>
        <w:t> </w:t>
      </w:r>
      <w:r>
        <w:rPr>
          <w:color w:val="231F20"/>
          <w:sz w:val="16"/>
        </w:rPr>
        <w:t>attend</w:t>
      </w:r>
      <w:r>
        <w:rPr>
          <w:color w:val="231F20"/>
          <w:spacing w:val="27"/>
          <w:sz w:val="16"/>
        </w:rPr>
        <w:t> </w:t>
      </w:r>
      <w:r>
        <w:rPr>
          <w:color w:val="231F20"/>
          <w:sz w:val="16"/>
        </w:rPr>
        <w:t>and</w:t>
      </w:r>
      <w:r>
        <w:rPr>
          <w:color w:val="231F20"/>
          <w:spacing w:val="27"/>
          <w:sz w:val="16"/>
        </w:rPr>
        <w:t> </w:t>
      </w:r>
      <w:r>
        <w:rPr>
          <w:color w:val="231F20"/>
          <w:sz w:val="16"/>
        </w:rPr>
        <w:t>vote</w:t>
      </w:r>
      <w:r>
        <w:rPr>
          <w:color w:val="231F20"/>
          <w:spacing w:val="27"/>
          <w:sz w:val="16"/>
        </w:rPr>
        <w:t> </w:t>
      </w:r>
      <w:r>
        <w:rPr>
          <w:color w:val="231F20"/>
          <w:sz w:val="16"/>
        </w:rPr>
        <w:t>at</w:t>
      </w:r>
      <w:r>
        <w:rPr>
          <w:color w:val="231F20"/>
          <w:spacing w:val="27"/>
          <w:sz w:val="16"/>
        </w:rPr>
        <w:t> </w:t>
      </w:r>
      <w:r>
        <w:rPr>
          <w:color w:val="231F20"/>
          <w:sz w:val="16"/>
        </w:rPr>
        <w:t>the</w:t>
      </w:r>
      <w:r>
        <w:rPr>
          <w:color w:val="231F20"/>
          <w:spacing w:val="27"/>
          <w:sz w:val="16"/>
        </w:rPr>
        <w:t> </w:t>
      </w:r>
      <w:r>
        <w:rPr>
          <w:color w:val="231F20"/>
          <w:sz w:val="16"/>
        </w:rPr>
        <w:t>2025</w:t>
      </w:r>
      <w:r>
        <w:rPr>
          <w:color w:val="231F20"/>
          <w:spacing w:val="27"/>
          <w:sz w:val="16"/>
        </w:rPr>
        <w:t> </w:t>
      </w:r>
      <w:r>
        <w:rPr>
          <w:color w:val="231F20"/>
          <w:sz w:val="16"/>
        </w:rPr>
        <w:t>Second</w:t>
      </w:r>
      <w:r>
        <w:rPr>
          <w:color w:val="231F20"/>
          <w:spacing w:val="27"/>
          <w:sz w:val="16"/>
        </w:rPr>
        <w:t> </w:t>
      </w:r>
      <w:r>
        <w:rPr>
          <w:color w:val="231F20"/>
          <w:sz w:val="16"/>
        </w:rPr>
        <w:t>EGM,</w:t>
      </w:r>
      <w:r>
        <w:rPr>
          <w:color w:val="231F20"/>
          <w:spacing w:val="27"/>
          <w:sz w:val="16"/>
        </w:rPr>
        <w:t> </w:t>
      </w:r>
      <w:r>
        <w:rPr>
          <w:color w:val="231F20"/>
          <w:sz w:val="16"/>
        </w:rPr>
        <w:t>all</w:t>
      </w:r>
      <w:r>
        <w:rPr>
          <w:color w:val="231F20"/>
          <w:spacing w:val="40"/>
          <w:sz w:val="16"/>
        </w:rPr>
        <w:t> </w:t>
      </w:r>
      <w:r>
        <w:rPr>
          <w:color w:val="231F20"/>
          <w:sz w:val="16"/>
        </w:rPr>
        <w:t>transfers</w:t>
      </w:r>
      <w:r>
        <w:rPr>
          <w:color w:val="231F20"/>
          <w:spacing w:val="38"/>
          <w:sz w:val="16"/>
        </w:rPr>
        <w:t> </w:t>
      </w:r>
      <w:r>
        <w:rPr>
          <w:color w:val="231F20"/>
          <w:sz w:val="16"/>
        </w:rPr>
        <w:t>accompanied</w:t>
      </w:r>
      <w:r>
        <w:rPr>
          <w:color w:val="231F20"/>
          <w:spacing w:val="38"/>
          <w:sz w:val="16"/>
        </w:rPr>
        <w:t> </w:t>
      </w:r>
      <w:r>
        <w:rPr>
          <w:color w:val="231F20"/>
          <w:sz w:val="16"/>
        </w:rPr>
        <w:t>by</w:t>
      </w:r>
      <w:r>
        <w:rPr>
          <w:color w:val="231F20"/>
          <w:spacing w:val="38"/>
          <w:sz w:val="16"/>
        </w:rPr>
        <w:t> </w:t>
      </w:r>
      <w:r>
        <w:rPr>
          <w:color w:val="231F20"/>
          <w:sz w:val="16"/>
        </w:rPr>
        <w:t>relevant</w:t>
      </w:r>
      <w:r>
        <w:rPr>
          <w:color w:val="231F20"/>
          <w:spacing w:val="38"/>
          <w:sz w:val="16"/>
        </w:rPr>
        <w:t> </w:t>
      </w:r>
      <w:r>
        <w:rPr>
          <w:color w:val="231F20"/>
          <w:sz w:val="16"/>
        </w:rPr>
        <w:t>share</w:t>
      </w:r>
      <w:r>
        <w:rPr>
          <w:color w:val="231F20"/>
          <w:spacing w:val="38"/>
          <w:sz w:val="16"/>
        </w:rPr>
        <w:t> </w:t>
      </w:r>
      <w:r>
        <w:rPr>
          <w:color w:val="231F20"/>
          <w:sz w:val="16"/>
        </w:rPr>
        <w:t>certificates</w:t>
      </w:r>
      <w:r>
        <w:rPr>
          <w:color w:val="231F20"/>
          <w:spacing w:val="38"/>
          <w:sz w:val="16"/>
        </w:rPr>
        <w:t> </w:t>
      </w:r>
      <w:r>
        <w:rPr>
          <w:color w:val="231F20"/>
          <w:sz w:val="16"/>
        </w:rPr>
        <w:t>must</w:t>
      </w:r>
      <w:r>
        <w:rPr>
          <w:color w:val="231F20"/>
          <w:spacing w:val="38"/>
          <w:sz w:val="16"/>
        </w:rPr>
        <w:t> </w:t>
      </w:r>
      <w:r>
        <w:rPr>
          <w:color w:val="231F20"/>
          <w:sz w:val="16"/>
        </w:rPr>
        <w:t>be</w:t>
      </w:r>
      <w:r>
        <w:rPr>
          <w:color w:val="231F20"/>
          <w:spacing w:val="38"/>
          <w:sz w:val="16"/>
        </w:rPr>
        <w:t> </w:t>
      </w:r>
      <w:r>
        <w:rPr>
          <w:color w:val="231F20"/>
          <w:sz w:val="16"/>
        </w:rPr>
        <w:t>lodged</w:t>
      </w:r>
      <w:r>
        <w:rPr>
          <w:color w:val="231F20"/>
          <w:spacing w:val="38"/>
          <w:sz w:val="16"/>
        </w:rPr>
        <w:t> </w:t>
      </w:r>
      <w:r>
        <w:rPr>
          <w:color w:val="231F20"/>
          <w:sz w:val="16"/>
        </w:rPr>
        <w:t>with</w:t>
      </w:r>
      <w:r>
        <w:rPr>
          <w:color w:val="231F20"/>
          <w:spacing w:val="38"/>
          <w:sz w:val="16"/>
        </w:rPr>
        <w:t> </w:t>
      </w:r>
      <w:r>
        <w:rPr>
          <w:color w:val="231F20"/>
          <w:sz w:val="16"/>
        </w:rPr>
        <w:t>the</w:t>
      </w:r>
      <w:r>
        <w:rPr>
          <w:color w:val="231F20"/>
          <w:spacing w:val="38"/>
          <w:sz w:val="16"/>
        </w:rPr>
        <w:t> </w:t>
      </w:r>
      <w:r>
        <w:rPr>
          <w:color w:val="231F20"/>
          <w:sz w:val="16"/>
        </w:rPr>
        <w:t>Company’s</w:t>
      </w:r>
      <w:r>
        <w:rPr>
          <w:color w:val="231F20"/>
          <w:spacing w:val="38"/>
          <w:sz w:val="16"/>
        </w:rPr>
        <w:t> </w:t>
      </w:r>
      <w:r>
        <w:rPr>
          <w:color w:val="231F20"/>
          <w:sz w:val="16"/>
        </w:rPr>
        <w:t>H</w:t>
      </w:r>
      <w:r>
        <w:rPr>
          <w:color w:val="231F20"/>
          <w:spacing w:val="38"/>
          <w:sz w:val="16"/>
        </w:rPr>
        <w:t> </w:t>
      </w:r>
      <w:r>
        <w:rPr>
          <w:color w:val="231F20"/>
          <w:sz w:val="16"/>
        </w:rPr>
        <w:t>Share</w:t>
      </w:r>
      <w:r>
        <w:rPr>
          <w:color w:val="231F20"/>
          <w:spacing w:val="38"/>
          <w:sz w:val="16"/>
        </w:rPr>
        <w:t> </w:t>
      </w:r>
      <w:r>
        <w:rPr>
          <w:color w:val="231F20"/>
          <w:sz w:val="16"/>
        </w:rPr>
        <w:t>Registrar,</w:t>
      </w:r>
      <w:r>
        <w:rPr>
          <w:color w:val="231F20"/>
          <w:spacing w:val="38"/>
          <w:sz w:val="16"/>
        </w:rPr>
        <w:t> </w:t>
      </w:r>
      <w:r>
        <w:rPr>
          <w:color w:val="231F20"/>
          <w:sz w:val="16"/>
        </w:rPr>
        <w:t>Computershare</w:t>
      </w:r>
      <w:r>
        <w:rPr>
          <w:color w:val="231F20"/>
          <w:spacing w:val="40"/>
          <w:sz w:val="16"/>
        </w:rPr>
        <w:t> </w:t>
      </w:r>
      <w:r>
        <w:rPr>
          <w:color w:val="231F20"/>
          <w:sz w:val="16"/>
        </w:rPr>
        <w:t>Hong</w:t>
      </w:r>
      <w:r>
        <w:rPr>
          <w:color w:val="231F20"/>
          <w:spacing w:val="28"/>
          <w:sz w:val="16"/>
        </w:rPr>
        <w:t> </w:t>
      </w:r>
      <w:r>
        <w:rPr>
          <w:color w:val="231F20"/>
          <w:sz w:val="16"/>
        </w:rPr>
        <w:t>Kong</w:t>
      </w:r>
      <w:r>
        <w:rPr>
          <w:color w:val="231F20"/>
          <w:spacing w:val="28"/>
          <w:sz w:val="16"/>
        </w:rPr>
        <w:t> </w:t>
      </w:r>
      <w:r>
        <w:rPr>
          <w:color w:val="231F20"/>
          <w:sz w:val="16"/>
        </w:rPr>
        <w:t>Investor</w:t>
      </w:r>
      <w:r>
        <w:rPr>
          <w:color w:val="231F20"/>
          <w:spacing w:val="28"/>
          <w:sz w:val="16"/>
        </w:rPr>
        <w:t> </w:t>
      </w:r>
      <w:r>
        <w:rPr>
          <w:color w:val="231F20"/>
          <w:sz w:val="16"/>
        </w:rPr>
        <w:t>Services</w:t>
      </w:r>
      <w:r>
        <w:rPr>
          <w:color w:val="231F20"/>
          <w:spacing w:val="28"/>
          <w:sz w:val="16"/>
        </w:rPr>
        <w:t> </w:t>
      </w:r>
      <w:r>
        <w:rPr>
          <w:color w:val="231F20"/>
          <w:sz w:val="16"/>
        </w:rPr>
        <w:t>Limited,</w:t>
      </w:r>
      <w:r>
        <w:rPr>
          <w:color w:val="231F20"/>
          <w:spacing w:val="28"/>
          <w:sz w:val="16"/>
        </w:rPr>
        <w:t> </w:t>
      </w:r>
      <w:r>
        <w:rPr>
          <w:color w:val="231F20"/>
          <w:sz w:val="16"/>
        </w:rPr>
        <w:t>at</w:t>
      </w:r>
      <w:r>
        <w:rPr>
          <w:color w:val="231F20"/>
          <w:spacing w:val="28"/>
          <w:sz w:val="16"/>
        </w:rPr>
        <w:t> </w:t>
      </w:r>
      <w:r>
        <w:rPr>
          <w:color w:val="231F20"/>
          <w:sz w:val="16"/>
        </w:rPr>
        <w:t>Shops</w:t>
      </w:r>
      <w:r>
        <w:rPr>
          <w:color w:val="231F20"/>
          <w:spacing w:val="28"/>
          <w:sz w:val="16"/>
        </w:rPr>
        <w:t> </w:t>
      </w:r>
      <w:r>
        <w:rPr>
          <w:color w:val="231F20"/>
          <w:sz w:val="16"/>
        </w:rPr>
        <w:t>1712</w:t>
      </w:r>
      <w:r>
        <w:rPr>
          <w:color w:val="231F20"/>
          <w:position w:val="2"/>
          <w:sz w:val="16"/>
        </w:rPr>
        <w:t>–</w:t>
      </w:r>
      <w:r>
        <w:rPr>
          <w:color w:val="231F20"/>
          <w:sz w:val="16"/>
        </w:rPr>
        <w:t>1716,</w:t>
      </w:r>
      <w:r>
        <w:rPr>
          <w:color w:val="231F20"/>
          <w:spacing w:val="28"/>
          <w:sz w:val="16"/>
        </w:rPr>
        <w:t> </w:t>
      </w:r>
      <w:r>
        <w:rPr>
          <w:color w:val="231F20"/>
          <w:sz w:val="16"/>
        </w:rPr>
        <w:t>17th</w:t>
      </w:r>
      <w:r>
        <w:rPr>
          <w:color w:val="231F20"/>
          <w:spacing w:val="28"/>
          <w:sz w:val="16"/>
        </w:rPr>
        <w:t> </w:t>
      </w:r>
      <w:r>
        <w:rPr>
          <w:color w:val="231F20"/>
          <w:sz w:val="16"/>
        </w:rPr>
        <w:t>Floor,</w:t>
      </w:r>
      <w:r>
        <w:rPr>
          <w:color w:val="231F20"/>
          <w:spacing w:val="28"/>
          <w:sz w:val="16"/>
        </w:rPr>
        <w:t> </w:t>
      </w:r>
      <w:r>
        <w:rPr>
          <w:color w:val="231F20"/>
          <w:sz w:val="16"/>
        </w:rPr>
        <w:t>Hopewell</w:t>
      </w:r>
      <w:r>
        <w:rPr>
          <w:color w:val="231F20"/>
          <w:spacing w:val="28"/>
          <w:sz w:val="16"/>
        </w:rPr>
        <w:t> </w:t>
      </w:r>
      <w:r>
        <w:rPr>
          <w:color w:val="231F20"/>
          <w:sz w:val="16"/>
        </w:rPr>
        <w:t>Centre,</w:t>
      </w:r>
      <w:r>
        <w:rPr>
          <w:color w:val="231F20"/>
          <w:spacing w:val="28"/>
          <w:sz w:val="16"/>
        </w:rPr>
        <w:t> </w:t>
      </w:r>
      <w:r>
        <w:rPr>
          <w:color w:val="231F20"/>
          <w:sz w:val="16"/>
        </w:rPr>
        <w:t>183</w:t>
      </w:r>
      <w:r>
        <w:rPr>
          <w:color w:val="231F20"/>
          <w:spacing w:val="28"/>
          <w:sz w:val="16"/>
        </w:rPr>
        <w:t> </w:t>
      </w:r>
      <w:r>
        <w:rPr>
          <w:color w:val="231F20"/>
          <w:sz w:val="16"/>
        </w:rPr>
        <w:t>Queen’s</w:t>
      </w:r>
      <w:r>
        <w:rPr>
          <w:color w:val="231F20"/>
          <w:spacing w:val="28"/>
          <w:sz w:val="16"/>
        </w:rPr>
        <w:t> </w:t>
      </w:r>
      <w:r>
        <w:rPr>
          <w:color w:val="231F20"/>
          <w:sz w:val="16"/>
        </w:rPr>
        <w:t>Road</w:t>
      </w:r>
      <w:r>
        <w:rPr>
          <w:color w:val="231F20"/>
          <w:spacing w:val="28"/>
          <w:sz w:val="16"/>
        </w:rPr>
        <w:t> </w:t>
      </w:r>
      <w:r>
        <w:rPr>
          <w:color w:val="231F20"/>
          <w:sz w:val="16"/>
        </w:rPr>
        <w:t>East,</w:t>
      </w:r>
      <w:r>
        <w:rPr>
          <w:color w:val="231F20"/>
          <w:spacing w:val="28"/>
          <w:sz w:val="16"/>
        </w:rPr>
        <w:t> </w:t>
      </w:r>
      <w:r>
        <w:rPr>
          <w:color w:val="231F20"/>
          <w:sz w:val="16"/>
        </w:rPr>
        <w:t>Wanchai,</w:t>
      </w:r>
      <w:r>
        <w:rPr>
          <w:color w:val="231F20"/>
          <w:spacing w:val="40"/>
          <w:sz w:val="16"/>
        </w:rPr>
        <w:t> </w:t>
      </w:r>
      <w:r>
        <w:rPr>
          <w:color w:val="231F20"/>
          <w:sz w:val="16"/>
        </w:rPr>
        <w:t>Hong</w:t>
      </w:r>
      <w:r>
        <w:rPr>
          <w:color w:val="231F20"/>
          <w:spacing w:val="38"/>
          <w:sz w:val="16"/>
        </w:rPr>
        <w:t> </w:t>
      </w:r>
      <w:r>
        <w:rPr>
          <w:color w:val="231F20"/>
          <w:sz w:val="16"/>
        </w:rPr>
        <w:t>Kong</w:t>
      </w:r>
      <w:r>
        <w:rPr>
          <w:color w:val="231F20"/>
          <w:spacing w:val="38"/>
          <w:sz w:val="16"/>
        </w:rPr>
        <w:t> </w:t>
      </w:r>
      <w:r>
        <w:rPr>
          <w:color w:val="231F20"/>
          <w:sz w:val="16"/>
        </w:rPr>
        <w:t>not</w:t>
      </w:r>
      <w:r>
        <w:rPr>
          <w:color w:val="231F20"/>
          <w:spacing w:val="39"/>
          <w:sz w:val="16"/>
        </w:rPr>
        <w:t> </w:t>
      </w:r>
      <w:r>
        <w:rPr>
          <w:color w:val="231F20"/>
          <w:sz w:val="16"/>
        </w:rPr>
        <w:t>later</w:t>
      </w:r>
      <w:r>
        <w:rPr>
          <w:color w:val="231F20"/>
          <w:spacing w:val="39"/>
          <w:sz w:val="16"/>
        </w:rPr>
        <w:t> </w:t>
      </w:r>
      <w:r>
        <w:rPr>
          <w:color w:val="231F20"/>
          <w:sz w:val="16"/>
        </w:rPr>
        <w:t>than</w:t>
      </w:r>
      <w:r>
        <w:rPr>
          <w:color w:val="231F20"/>
          <w:spacing w:val="39"/>
          <w:sz w:val="16"/>
        </w:rPr>
        <w:t> </w:t>
      </w:r>
      <w:r>
        <w:rPr>
          <w:color w:val="231F20"/>
          <w:sz w:val="16"/>
        </w:rPr>
        <w:t>4:30</w:t>
      </w:r>
      <w:r>
        <w:rPr>
          <w:color w:val="231F20"/>
          <w:spacing w:val="39"/>
          <w:sz w:val="16"/>
        </w:rPr>
        <w:t> </w:t>
      </w:r>
      <w:r>
        <w:rPr>
          <w:color w:val="231F20"/>
          <w:sz w:val="16"/>
        </w:rPr>
        <w:t>p.m.</w:t>
      </w:r>
      <w:r>
        <w:rPr>
          <w:color w:val="231F20"/>
          <w:spacing w:val="39"/>
          <w:sz w:val="16"/>
        </w:rPr>
        <w:t> </w:t>
      </w:r>
      <w:r>
        <w:rPr>
          <w:color w:val="231F20"/>
          <w:sz w:val="16"/>
        </w:rPr>
        <w:t>on</w:t>
      </w:r>
      <w:r>
        <w:rPr>
          <w:color w:val="231F20"/>
          <w:spacing w:val="39"/>
          <w:sz w:val="16"/>
        </w:rPr>
        <w:t> </w:t>
      </w:r>
      <w:r>
        <w:rPr>
          <w:color w:val="231F20"/>
          <w:sz w:val="16"/>
        </w:rPr>
        <w:t>Wednesday,</w:t>
      </w:r>
      <w:r>
        <w:rPr>
          <w:color w:val="231F20"/>
          <w:spacing w:val="39"/>
          <w:sz w:val="16"/>
        </w:rPr>
        <w:t> </w:t>
      </w:r>
      <w:r>
        <w:rPr>
          <w:color w:val="231F20"/>
          <w:sz w:val="16"/>
        </w:rPr>
        <w:t>September</w:t>
      </w:r>
      <w:r>
        <w:rPr>
          <w:color w:val="231F20"/>
          <w:spacing w:val="39"/>
          <w:sz w:val="16"/>
        </w:rPr>
        <w:t> </w:t>
      </w:r>
      <w:r>
        <w:rPr>
          <w:color w:val="231F20"/>
          <w:sz w:val="16"/>
        </w:rPr>
        <w:t>3,</w:t>
      </w:r>
      <w:r>
        <w:rPr>
          <w:color w:val="231F20"/>
          <w:spacing w:val="39"/>
          <w:sz w:val="16"/>
        </w:rPr>
        <w:t> </w:t>
      </w:r>
      <w:r>
        <w:rPr>
          <w:color w:val="231F20"/>
          <w:sz w:val="16"/>
        </w:rPr>
        <w:t>2025.</w:t>
      </w:r>
    </w:p>
    <w:p>
      <w:pPr>
        <w:pStyle w:val="BodyText"/>
        <w:spacing w:before="36"/>
        <w:rPr>
          <w:sz w:val="16"/>
        </w:rPr>
      </w:pPr>
    </w:p>
    <w:p>
      <w:pPr>
        <w:pStyle w:val="ListParagraph"/>
        <w:numPr>
          <w:ilvl w:val="0"/>
          <w:numId w:val="11"/>
        </w:numPr>
        <w:tabs>
          <w:tab w:pos="709" w:val="left" w:leader="none"/>
        </w:tabs>
        <w:spacing w:line="288" w:lineRule="auto" w:before="0" w:after="0"/>
        <w:ind w:left="709" w:right="136" w:hanging="567"/>
        <w:jc w:val="both"/>
        <w:rPr>
          <w:sz w:val="16"/>
        </w:rPr>
      </w:pPr>
      <w:r>
        <w:rPr>
          <w:color w:val="231F20"/>
          <w:sz w:val="16"/>
        </w:rPr>
        <w:t>Shareholders or their proxies attending the 2025 Second EGM are responsible for their own transportation and accommodation</w:t>
      </w:r>
      <w:r>
        <w:rPr>
          <w:color w:val="231F20"/>
          <w:spacing w:val="40"/>
          <w:sz w:val="16"/>
        </w:rPr>
        <w:t> </w:t>
      </w:r>
      <w:r>
        <w:rPr>
          <w:color w:val="231F20"/>
          <w:spacing w:val="-2"/>
          <w:sz w:val="16"/>
        </w:rPr>
        <w:t>expenses.</w:t>
      </w:r>
    </w:p>
    <w:p>
      <w:pPr>
        <w:pStyle w:val="BodyText"/>
        <w:spacing w:before="117"/>
        <w:rPr>
          <w:sz w:val="16"/>
        </w:rPr>
      </w:pPr>
    </w:p>
    <w:p>
      <w:pPr>
        <w:spacing w:line="292" w:lineRule="auto" w:before="0"/>
        <w:ind w:left="142" w:right="130" w:firstLine="566"/>
        <w:jc w:val="both"/>
        <w:rPr>
          <w:i/>
          <w:sz w:val="20"/>
        </w:rPr>
      </w:pPr>
      <w:r>
        <w:rPr>
          <w:i/>
          <w:color w:val="231F20"/>
          <w:sz w:val="20"/>
        </w:rPr>
        <w:t>As at the date hereof, the Board of Directors comprises of Mr. WANG Yapeng as the chairman of </w:t>
      </w:r>
      <w:r>
        <w:rPr>
          <w:i/>
          <w:color w:val="231F20"/>
          <w:sz w:val="20"/>
        </w:rPr>
        <w:t>the</w:t>
      </w:r>
      <w:r>
        <w:rPr>
          <w:i/>
          <w:color w:val="231F20"/>
          <w:sz w:val="20"/>
        </w:rPr>
        <w:t> Board of Directors and executive Director; Ms. ZHUANG Hao, Mr. ZHANG Heping, Mr. ZHUANG Shu and</w:t>
      </w:r>
      <w:r>
        <w:rPr>
          <w:i/>
          <w:color w:val="231F20"/>
          <w:spacing w:val="80"/>
          <w:sz w:val="20"/>
        </w:rPr>
        <w:t> </w:t>
      </w:r>
      <w:r>
        <w:rPr>
          <w:i/>
          <w:color w:val="231F20"/>
          <w:sz w:val="20"/>
        </w:rPr>
        <w:t>Mr. LU Tashan as executive Directors; Mr. LIAO Shengxing as a non-executive Director; and Dr. ZHANG Guoqing,</w:t>
      </w:r>
      <w:r>
        <w:rPr>
          <w:i/>
          <w:color w:val="231F20"/>
          <w:spacing w:val="38"/>
          <w:sz w:val="20"/>
        </w:rPr>
        <w:t> </w:t>
      </w:r>
      <w:r>
        <w:rPr>
          <w:i/>
          <w:color w:val="231F20"/>
          <w:sz w:val="20"/>
        </w:rPr>
        <w:t>Dr.</w:t>
      </w:r>
      <w:r>
        <w:rPr>
          <w:i/>
          <w:color w:val="231F20"/>
          <w:spacing w:val="38"/>
          <w:sz w:val="20"/>
        </w:rPr>
        <w:t> </w:t>
      </w:r>
      <w:r>
        <w:rPr>
          <w:i/>
          <w:color w:val="231F20"/>
          <w:sz w:val="20"/>
        </w:rPr>
        <w:t>YANG</w:t>
      </w:r>
      <w:r>
        <w:rPr>
          <w:i/>
          <w:color w:val="231F20"/>
          <w:spacing w:val="38"/>
          <w:sz w:val="20"/>
        </w:rPr>
        <w:t> </w:t>
      </w:r>
      <w:r>
        <w:rPr>
          <w:i/>
          <w:color w:val="231F20"/>
          <w:sz w:val="20"/>
        </w:rPr>
        <w:t>Chenhui,</w:t>
      </w:r>
      <w:r>
        <w:rPr>
          <w:i/>
          <w:color w:val="231F20"/>
          <w:spacing w:val="38"/>
          <w:sz w:val="20"/>
        </w:rPr>
        <w:t> </w:t>
      </w:r>
      <w:r>
        <w:rPr>
          <w:i/>
          <w:color w:val="231F20"/>
          <w:sz w:val="20"/>
        </w:rPr>
        <w:t>Mr.</w:t>
      </w:r>
      <w:r>
        <w:rPr>
          <w:i/>
          <w:color w:val="231F20"/>
          <w:spacing w:val="38"/>
          <w:sz w:val="20"/>
        </w:rPr>
        <w:t> </w:t>
      </w:r>
      <w:r>
        <w:rPr>
          <w:i/>
          <w:color w:val="231F20"/>
          <w:sz w:val="20"/>
        </w:rPr>
        <w:t>HAN</w:t>
      </w:r>
      <w:r>
        <w:rPr>
          <w:i/>
          <w:color w:val="231F20"/>
          <w:spacing w:val="38"/>
          <w:sz w:val="20"/>
        </w:rPr>
        <w:t> </w:t>
      </w:r>
      <w:r>
        <w:rPr>
          <w:i/>
          <w:color w:val="231F20"/>
          <w:sz w:val="20"/>
        </w:rPr>
        <w:t>Jianshu,</w:t>
      </w:r>
      <w:r>
        <w:rPr>
          <w:i/>
          <w:color w:val="231F20"/>
          <w:spacing w:val="38"/>
          <w:sz w:val="20"/>
        </w:rPr>
        <w:t> </w:t>
      </w:r>
      <w:r>
        <w:rPr>
          <w:i/>
          <w:color w:val="231F20"/>
          <w:sz w:val="20"/>
        </w:rPr>
        <w:t>Professor</w:t>
      </w:r>
      <w:r>
        <w:rPr>
          <w:i/>
          <w:color w:val="231F20"/>
          <w:spacing w:val="38"/>
          <w:sz w:val="20"/>
        </w:rPr>
        <w:t> </w:t>
      </w:r>
      <w:r>
        <w:rPr>
          <w:i/>
          <w:color w:val="231F20"/>
          <w:sz w:val="20"/>
        </w:rPr>
        <w:t>Alfred</w:t>
      </w:r>
      <w:r>
        <w:rPr>
          <w:i/>
          <w:color w:val="231F20"/>
          <w:spacing w:val="38"/>
          <w:sz w:val="20"/>
        </w:rPr>
        <w:t> </w:t>
      </w:r>
      <w:r>
        <w:rPr>
          <w:i/>
          <w:color w:val="231F20"/>
          <w:sz w:val="20"/>
        </w:rPr>
        <w:t>SIT</w:t>
      </w:r>
      <w:r>
        <w:rPr>
          <w:i/>
          <w:color w:val="231F20"/>
          <w:spacing w:val="38"/>
          <w:sz w:val="20"/>
        </w:rPr>
        <w:t> </w:t>
      </w:r>
      <w:r>
        <w:rPr>
          <w:i/>
          <w:color w:val="231F20"/>
          <w:sz w:val="20"/>
        </w:rPr>
        <w:t>Wing</w:t>
      </w:r>
      <w:r>
        <w:rPr>
          <w:i/>
          <w:color w:val="231F20"/>
          <w:spacing w:val="38"/>
          <w:sz w:val="20"/>
        </w:rPr>
        <w:t> </w:t>
      </w:r>
      <w:r>
        <w:rPr>
          <w:i/>
          <w:color w:val="231F20"/>
          <w:sz w:val="20"/>
        </w:rPr>
        <w:t>Hang</w:t>
      </w:r>
      <w:r>
        <w:rPr>
          <w:i/>
          <w:color w:val="231F20"/>
          <w:spacing w:val="38"/>
          <w:sz w:val="20"/>
        </w:rPr>
        <w:t> </w:t>
      </w:r>
      <w:r>
        <w:rPr>
          <w:i/>
          <w:color w:val="231F20"/>
          <w:sz w:val="20"/>
        </w:rPr>
        <w:t>and</w:t>
      </w:r>
      <w:r>
        <w:rPr>
          <w:i/>
          <w:color w:val="231F20"/>
          <w:spacing w:val="38"/>
          <w:sz w:val="20"/>
        </w:rPr>
        <w:t> </w:t>
      </w:r>
      <w:r>
        <w:rPr>
          <w:i/>
          <w:color w:val="231F20"/>
          <w:sz w:val="20"/>
        </w:rPr>
        <w:t>Ms.</w:t>
      </w:r>
      <w:r>
        <w:rPr>
          <w:i/>
          <w:color w:val="231F20"/>
          <w:spacing w:val="38"/>
          <w:sz w:val="20"/>
        </w:rPr>
        <w:t> </w:t>
      </w:r>
      <w:r>
        <w:rPr>
          <w:i/>
          <w:color w:val="231F20"/>
          <w:sz w:val="20"/>
        </w:rPr>
        <w:t>NG</w:t>
      </w:r>
      <w:r>
        <w:rPr>
          <w:i/>
          <w:color w:val="231F20"/>
          <w:spacing w:val="38"/>
          <w:sz w:val="20"/>
        </w:rPr>
        <w:t> </w:t>
      </w:r>
      <w:r>
        <w:rPr>
          <w:i/>
          <w:color w:val="231F20"/>
          <w:sz w:val="20"/>
        </w:rPr>
        <w:t>Weng</w:t>
      </w:r>
      <w:r>
        <w:rPr>
          <w:i/>
          <w:color w:val="231F20"/>
          <w:spacing w:val="38"/>
          <w:sz w:val="20"/>
        </w:rPr>
        <w:t> </w:t>
      </w:r>
      <w:r>
        <w:rPr>
          <w:i/>
          <w:color w:val="231F20"/>
          <w:sz w:val="20"/>
        </w:rPr>
        <w:t>Sin as independent non-executive Directors.</w:t>
      </w:r>
    </w:p>
    <w:sectPr>
      <w:pgSz w:w="11910" w:h="15880"/>
      <w:pgMar w:header="567" w:footer="573" w:top="1300" w:bottom="760" w:left="1275" w:right="1275"/>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Microsoft YaHei">
    <w:altName w:val="Microsoft YaHei"/>
    <w:charset w:val="0"/>
    <w:family w:val="swiss"/>
    <w:pitch w:val="variable"/>
  </w:font>
  <w:font w:name="新細明體">
    <w:altName w:val="新細明體"/>
    <w:charset w:val="88"/>
    <w:family w:val="roman"/>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6548992">
              <wp:simplePos x="0" y="0"/>
              <wp:positionH relativeFrom="page">
                <wp:posOffset>3648047</wp:posOffset>
              </wp:positionH>
              <wp:positionV relativeFrom="page">
                <wp:posOffset>9576138</wp:posOffset>
              </wp:positionV>
              <wp:extent cx="264160" cy="167640"/>
              <wp:effectExtent l="0" t="0" r="0" b="0"/>
              <wp:wrapNone/>
              <wp:docPr id="12" name="Textbox 12"/>
              <wp:cNvGraphicFramePr>
                <a:graphicFrameLocks/>
              </wp:cNvGraphicFramePr>
              <a:graphic>
                <a:graphicData uri="http://schemas.microsoft.com/office/word/2010/wordprocessingShape">
                  <wps:wsp>
                    <wps:cNvPr id="12" name="Textbox 12"/>
                    <wps:cNvSpPr txBox="1"/>
                    <wps:spPr>
                      <a:xfrm>
                        <a:off x="0" y="0"/>
                        <a:ext cx="264160" cy="167640"/>
                      </a:xfrm>
                      <a:prstGeom prst="rect">
                        <a:avLst/>
                      </a:prstGeom>
                    </wps:spPr>
                    <wps:txbx>
                      <w:txbxContent>
                        <w:p>
                          <w:pPr>
                            <w:pStyle w:val="BodyText"/>
                            <w:spacing w:before="13"/>
                            <w:ind w:left="20"/>
                          </w:pPr>
                          <w:r>
                            <w:rPr>
                              <w:color w:val="231F20"/>
                            </w:rPr>
                            <w:t>–</w:t>
                          </w:r>
                          <w:r>
                            <w:rPr>
                              <w:color w:val="231F20"/>
                              <w:spacing w:val="10"/>
                            </w:rPr>
                            <w:t> </w:t>
                          </w:r>
                          <w:r>
                            <w:rPr>
                              <w:color w:val="231F20"/>
                            </w:rPr>
                            <w:t>i</w:t>
                          </w:r>
                          <w:r>
                            <w:rPr>
                              <w:color w:val="231F20"/>
                              <w:spacing w:val="10"/>
                            </w:rPr>
                            <w:t> </w:t>
                          </w:r>
                          <w:r>
                            <w:rPr>
                              <w:color w:val="231F20"/>
                              <w:spacing w:val="-10"/>
                            </w:rPr>
                            <w:t>–</w:t>
                          </w:r>
                        </w:p>
                      </w:txbxContent>
                    </wps:txbx>
                    <wps:bodyPr wrap="square" lIns="0" tIns="0" rIns="0" bIns="0" rtlCol="0">
                      <a:noAutofit/>
                    </wps:bodyPr>
                  </wps:wsp>
                </a:graphicData>
              </a:graphic>
            </wp:anchor>
          </w:drawing>
        </mc:Choice>
        <mc:Fallback>
          <w:pict>
            <v:shape style="position:absolute;margin-left:287.247803pt;margin-top:754.026672pt;width:20.8pt;height:13.2pt;mso-position-horizontal-relative:page;mso-position-vertical-relative:page;z-index:-16767488" type="#_x0000_t202" id="docshape8" filled="false" stroked="false">
              <v:textbox inset="0,0,0,0">
                <w:txbxContent>
                  <w:p>
                    <w:pPr>
                      <w:pStyle w:val="BodyText"/>
                      <w:spacing w:before="13"/>
                      <w:ind w:left="20"/>
                    </w:pPr>
                    <w:r>
                      <w:rPr>
                        <w:color w:val="231F20"/>
                      </w:rPr>
                      <w:t>–</w:t>
                    </w:r>
                    <w:r>
                      <w:rPr>
                        <w:color w:val="231F20"/>
                        <w:spacing w:val="10"/>
                      </w:rPr>
                      <w:t> </w:t>
                    </w:r>
                    <w:r>
                      <w:rPr>
                        <w:color w:val="231F20"/>
                      </w:rPr>
                      <w:t>i</w:t>
                    </w:r>
                    <w:r>
                      <w:rPr>
                        <w:color w:val="231F20"/>
                        <w:spacing w:val="10"/>
                      </w:rPr>
                      <w:t> </w:t>
                    </w:r>
                    <w:r>
                      <w:rPr>
                        <w:color w:val="231F20"/>
                        <w:spacing w:val="-10"/>
                      </w:rPr>
                      <w:t>–</w:t>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6551040">
              <wp:simplePos x="0" y="0"/>
              <wp:positionH relativeFrom="page">
                <wp:posOffset>3633949</wp:posOffset>
              </wp:positionH>
              <wp:positionV relativeFrom="page">
                <wp:posOffset>9576138</wp:posOffset>
              </wp:positionV>
              <wp:extent cx="292100" cy="167640"/>
              <wp:effectExtent l="0" t="0" r="0" b="0"/>
              <wp:wrapNone/>
              <wp:docPr id="16" name="Textbox 16"/>
              <wp:cNvGraphicFramePr>
                <a:graphicFrameLocks/>
              </wp:cNvGraphicFramePr>
              <a:graphic>
                <a:graphicData uri="http://schemas.microsoft.com/office/word/2010/wordprocessingShape">
                  <wps:wsp>
                    <wps:cNvPr id="16" name="Textbox 16"/>
                    <wps:cNvSpPr txBox="1"/>
                    <wps:spPr>
                      <a:xfrm>
                        <a:off x="0" y="0"/>
                        <a:ext cx="292100" cy="167640"/>
                      </a:xfrm>
                      <a:prstGeom prst="rect">
                        <a:avLst/>
                      </a:prstGeom>
                    </wps:spPr>
                    <wps:txbx>
                      <w:txbxContent>
                        <w:p>
                          <w:pPr>
                            <w:pStyle w:val="BodyText"/>
                            <w:spacing w:before="13"/>
                            <w:ind w:left="20"/>
                          </w:pPr>
                          <w:r>
                            <w:rPr>
                              <w:color w:val="231F20"/>
                            </w:rPr>
                            <w:t>–</w:t>
                          </w:r>
                          <w:r>
                            <w:rPr>
                              <w:color w:val="231F20"/>
                              <w:spacing w:val="10"/>
                            </w:rPr>
                            <w:t> </w:t>
                          </w:r>
                          <w:r>
                            <w:rPr>
                              <w:color w:val="231F20"/>
                            </w:rPr>
                            <w:fldChar w:fldCharType="begin"/>
                          </w:r>
                          <w:r>
                            <w:rPr>
                              <w:color w:val="231F20"/>
                            </w:rPr>
                            <w:instrText> PAGE </w:instrText>
                          </w:r>
                          <w:r>
                            <w:rPr>
                              <w:color w:val="231F20"/>
                            </w:rPr>
                            <w:fldChar w:fldCharType="separate"/>
                          </w:r>
                          <w:r>
                            <w:rPr>
                              <w:color w:val="231F20"/>
                            </w:rPr>
                            <w:t>1</w:t>
                          </w:r>
                          <w:r>
                            <w:rPr>
                              <w:color w:val="231F20"/>
                            </w:rPr>
                            <w:fldChar w:fldCharType="end"/>
                          </w:r>
                          <w:r>
                            <w:rPr>
                              <w:color w:val="231F20"/>
                              <w:spacing w:val="10"/>
                            </w:rPr>
                            <w:t> </w:t>
                          </w:r>
                          <w:r>
                            <w:rPr>
                              <w:color w:val="231F20"/>
                              <w:spacing w:val="-10"/>
                            </w:rPr>
                            <w:t>–</w:t>
                          </w:r>
                        </w:p>
                      </w:txbxContent>
                    </wps:txbx>
                    <wps:bodyPr wrap="square" lIns="0" tIns="0" rIns="0" bIns="0" rtlCol="0">
                      <a:noAutofit/>
                    </wps:bodyPr>
                  </wps:wsp>
                </a:graphicData>
              </a:graphic>
            </wp:anchor>
          </w:drawing>
        </mc:Choice>
        <mc:Fallback>
          <w:pict>
            <v:shape style="position:absolute;margin-left:286.137787pt;margin-top:754.026672pt;width:23pt;height:13.2pt;mso-position-horizontal-relative:page;mso-position-vertical-relative:page;z-index:-16765440" type="#_x0000_t202" id="docshape10" filled="false" stroked="false">
              <v:textbox inset="0,0,0,0">
                <w:txbxContent>
                  <w:p>
                    <w:pPr>
                      <w:pStyle w:val="BodyText"/>
                      <w:spacing w:before="13"/>
                      <w:ind w:left="20"/>
                    </w:pPr>
                    <w:r>
                      <w:rPr>
                        <w:color w:val="231F20"/>
                      </w:rPr>
                      <w:t>–</w:t>
                    </w:r>
                    <w:r>
                      <w:rPr>
                        <w:color w:val="231F20"/>
                        <w:spacing w:val="10"/>
                      </w:rPr>
                      <w:t> </w:t>
                    </w:r>
                    <w:r>
                      <w:rPr>
                        <w:color w:val="231F20"/>
                      </w:rPr>
                      <w:fldChar w:fldCharType="begin"/>
                    </w:r>
                    <w:r>
                      <w:rPr>
                        <w:color w:val="231F20"/>
                      </w:rPr>
                      <w:instrText> PAGE </w:instrText>
                    </w:r>
                    <w:r>
                      <w:rPr>
                        <w:color w:val="231F20"/>
                      </w:rPr>
                      <w:fldChar w:fldCharType="separate"/>
                    </w:r>
                    <w:r>
                      <w:rPr>
                        <w:color w:val="231F20"/>
                      </w:rPr>
                      <w:t>1</w:t>
                    </w:r>
                    <w:r>
                      <w:rPr>
                        <w:color w:val="231F20"/>
                      </w:rPr>
                      <w:fldChar w:fldCharType="end"/>
                    </w:r>
                    <w:r>
                      <w:rPr>
                        <w:color w:val="231F20"/>
                        <w:spacing w:val="10"/>
                      </w:rPr>
                      <w:t> </w:t>
                    </w:r>
                    <w:r>
                      <w:rPr>
                        <w:color w:val="231F20"/>
                        <w:spacing w:val="-10"/>
                      </w:rPr>
                      <w:t>–</w:t>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6553088">
              <wp:simplePos x="0" y="0"/>
              <wp:positionH relativeFrom="page">
                <wp:posOffset>3633949</wp:posOffset>
              </wp:positionH>
              <wp:positionV relativeFrom="page">
                <wp:posOffset>9576138</wp:posOffset>
              </wp:positionV>
              <wp:extent cx="292100" cy="167640"/>
              <wp:effectExtent l="0" t="0" r="0" b="0"/>
              <wp:wrapNone/>
              <wp:docPr id="20" name="Textbox 20"/>
              <wp:cNvGraphicFramePr>
                <a:graphicFrameLocks/>
              </wp:cNvGraphicFramePr>
              <a:graphic>
                <a:graphicData uri="http://schemas.microsoft.com/office/word/2010/wordprocessingShape">
                  <wps:wsp>
                    <wps:cNvPr id="20" name="Textbox 20"/>
                    <wps:cNvSpPr txBox="1"/>
                    <wps:spPr>
                      <a:xfrm>
                        <a:off x="0" y="0"/>
                        <a:ext cx="292100" cy="167640"/>
                      </a:xfrm>
                      <a:prstGeom prst="rect">
                        <a:avLst/>
                      </a:prstGeom>
                    </wps:spPr>
                    <wps:txbx>
                      <w:txbxContent>
                        <w:p>
                          <w:pPr>
                            <w:pStyle w:val="BodyText"/>
                            <w:spacing w:before="13"/>
                            <w:ind w:left="20"/>
                          </w:pPr>
                          <w:r>
                            <w:rPr>
                              <w:color w:val="231F20"/>
                            </w:rPr>
                            <w:t>–</w:t>
                          </w:r>
                          <w:r>
                            <w:rPr>
                              <w:color w:val="231F20"/>
                              <w:spacing w:val="10"/>
                            </w:rPr>
                            <w:t> </w:t>
                          </w:r>
                          <w:r>
                            <w:rPr>
                              <w:color w:val="231F20"/>
                            </w:rPr>
                            <w:fldChar w:fldCharType="begin"/>
                          </w:r>
                          <w:r>
                            <w:rPr>
                              <w:color w:val="231F20"/>
                            </w:rPr>
                            <w:instrText> PAGE </w:instrText>
                          </w:r>
                          <w:r>
                            <w:rPr>
                              <w:color w:val="231F20"/>
                            </w:rPr>
                            <w:fldChar w:fldCharType="separate"/>
                          </w:r>
                          <w:r>
                            <w:rPr>
                              <w:color w:val="231F20"/>
                            </w:rPr>
                            <w:t>3</w:t>
                          </w:r>
                          <w:r>
                            <w:rPr>
                              <w:color w:val="231F20"/>
                            </w:rPr>
                            <w:fldChar w:fldCharType="end"/>
                          </w:r>
                          <w:r>
                            <w:rPr>
                              <w:color w:val="231F20"/>
                              <w:spacing w:val="10"/>
                            </w:rPr>
                            <w:t> </w:t>
                          </w:r>
                          <w:r>
                            <w:rPr>
                              <w:color w:val="231F20"/>
                              <w:spacing w:val="-10"/>
                            </w:rPr>
                            <w:t>–</w:t>
                          </w:r>
                        </w:p>
                      </w:txbxContent>
                    </wps:txbx>
                    <wps:bodyPr wrap="square" lIns="0" tIns="0" rIns="0" bIns="0" rtlCol="0">
                      <a:noAutofit/>
                    </wps:bodyPr>
                  </wps:wsp>
                </a:graphicData>
              </a:graphic>
            </wp:anchor>
          </w:drawing>
        </mc:Choice>
        <mc:Fallback>
          <w:pict>
            <v:shape style="position:absolute;margin-left:286.137787pt;margin-top:754.026672pt;width:23pt;height:13.2pt;mso-position-horizontal-relative:page;mso-position-vertical-relative:page;z-index:-16763392" type="#_x0000_t202" id="docshape12" filled="false" stroked="false">
              <v:textbox inset="0,0,0,0">
                <w:txbxContent>
                  <w:p>
                    <w:pPr>
                      <w:pStyle w:val="BodyText"/>
                      <w:spacing w:before="13"/>
                      <w:ind w:left="20"/>
                    </w:pPr>
                    <w:r>
                      <w:rPr>
                        <w:color w:val="231F20"/>
                      </w:rPr>
                      <w:t>–</w:t>
                    </w:r>
                    <w:r>
                      <w:rPr>
                        <w:color w:val="231F20"/>
                        <w:spacing w:val="10"/>
                      </w:rPr>
                      <w:t> </w:t>
                    </w:r>
                    <w:r>
                      <w:rPr>
                        <w:color w:val="231F20"/>
                      </w:rPr>
                      <w:fldChar w:fldCharType="begin"/>
                    </w:r>
                    <w:r>
                      <w:rPr>
                        <w:color w:val="231F20"/>
                      </w:rPr>
                      <w:instrText> PAGE </w:instrText>
                    </w:r>
                    <w:r>
                      <w:rPr>
                        <w:color w:val="231F20"/>
                      </w:rPr>
                      <w:fldChar w:fldCharType="separate"/>
                    </w:r>
                    <w:r>
                      <w:rPr>
                        <w:color w:val="231F20"/>
                      </w:rPr>
                      <w:t>3</w:t>
                    </w:r>
                    <w:r>
                      <w:rPr>
                        <w:color w:val="231F20"/>
                      </w:rPr>
                      <w:fldChar w:fldCharType="end"/>
                    </w:r>
                    <w:r>
                      <w:rPr>
                        <w:color w:val="231F20"/>
                        <w:spacing w:val="10"/>
                      </w:rPr>
                      <w:t> </w:t>
                    </w:r>
                    <w:r>
                      <w:rPr>
                        <w:color w:val="231F20"/>
                        <w:spacing w:val="-10"/>
                      </w:rPr>
                      <w:t>–</w:t>
                    </w:r>
                  </w:p>
                </w:txbxContent>
              </v:textbox>
              <w10:wrap type="none"/>
            </v:shape>
          </w:pict>
        </mc:Fallback>
      </mc:AlternateContent>
    </w: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6555648">
              <wp:simplePos x="0" y="0"/>
              <wp:positionH relativeFrom="page">
                <wp:posOffset>3555147</wp:posOffset>
              </wp:positionH>
              <wp:positionV relativeFrom="page">
                <wp:posOffset>9576138</wp:posOffset>
              </wp:positionV>
              <wp:extent cx="450215" cy="167640"/>
              <wp:effectExtent l="0" t="0" r="0" b="0"/>
              <wp:wrapNone/>
              <wp:docPr id="28" name="Textbox 28"/>
              <wp:cNvGraphicFramePr>
                <a:graphicFrameLocks/>
              </wp:cNvGraphicFramePr>
              <a:graphic>
                <a:graphicData uri="http://schemas.microsoft.com/office/word/2010/wordprocessingShape">
                  <wps:wsp>
                    <wps:cNvPr id="28" name="Textbox 28"/>
                    <wps:cNvSpPr txBox="1"/>
                    <wps:spPr>
                      <a:xfrm>
                        <a:off x="0" y="0"/>
                        <a:ext cx="450215" cy="167640"/>
                      </a:xfrm>
                      <a:prstGeom prst="rect">
                        <a:avLst/>
                      </a:prstGeom>
                    </wps:spPr>
                    <wps:txbx>
                      <w:txbxContent>
                        <w:p>
                          <w:pPr>
                            <w:pStyle w:val="BodyText"/>
                            <w:spacing w:before="13"/>
                            <w:ind w:left="20"/>
                          </w:pPr>
                          <w:r>
                            <w:rPr>
                              <w:color w:val="231F20"/>
                            </w:rPr>
                            <w:t>–</w:t>
                          </w:r>
                          <w:r>
                            <w:rPr>
                              <w:color w:val="231F20"/>
                              <w:spacing w:val="15"/>
                            </w:rPr>
                            <w:t> </w:t>
                          </w:r>
                          <w:r>
                            <w:rPr>
                              <w:color w:val="231F20"/>
                            </w:rPr>
                            <w:t>I-</w:t>
                          </w:r>
                          <w:r>
                            <w:rPr>
                              <w:color w:val="231F20"/>
                            </w:rPr>
                            <w:fldChar w:fldCharType="begin"/>
                          </w:r>
                          <w:r>
                            <w:rPr>
                              <w:color w:val="231F20"/>
                            </w:rPr>
                            <w:instrText> PAGE </w:instrText>
                          </w:r>
                          <w:r>
                            <w:rPr>
                              <w:color w:val="231F20"/>
                            </w:rPr>
                            <w:fldChar w:fldCharType="separate"/>
                          </w:r>
                          <w:r>
                            <w:rPr>
                              <w:color w:val="231F20"/>
                            </w:rPr>
                            <w:t>10</w:t>
                          </w:r>
                          <w:r>
                            <w:rPr>
                              <w:color w:val="231F20"/>
                            </w:rPr>
                            <w:fldChar w:fldCharType="end"/>
                          </w:r>
                          <w:r>
                            <w:rPr>
                              <w:color w:val="231F20"/>
                              <w:spacing w:val="15"/>
                            </w:rPr>
                            <w:t> </w:t>
                          </w:r>
                          <w:r>
                            <w:rPr>
                              <w:color w:val="231F20"/>
                              <w:spacing w:val="-10"/>
                            </w:rPr>
                            <w:t>–</w:t>
                          </w:r>
                        </w:p>
                      </w:txbxContent>
                    </wps:txbx>
                    <wps:bodyPr wrap="square" lIns="0" tIns="0" rIns="0" bIns="0" rtlCol="0">
                      <a:noAutofit/>
                    </wps:bodyPr>
                  </wps:wsp>
                </a:graphicData>
              </a:graphic>
            </wp:anchor>
          </w:drawing>
        </mc:Choice>
        <mc:Fallback>
          <w:pict>
            <v:shape style="position:absolute;margin-left:279.932892pt;margin-top:754.026672pt;width:35.450pt;height:13.2pt;mso-position-horizontal-relative:page;mso-position-vertical-relative:page;z-index:-16760832" type="#_x0000_t202" id="docshape19" filled="false" stroked="false">
              <v:textbox inset="0,0,0,0">
                <w:txbxContent>
                  <w:p>
                    <w:pPr>
                      <w:pStyle w:val="BodyText"/>
                      <w:spacing w:before="13"/>
                      <w:ind w:left="20"/>
                    </w:pPr>
                    <w:r>
                      <w:rPr>
                        <w:color w:val="231F20"/>
                      </w:rPr>
                      <w:t>–</w:t>
                    </w:r>
                    <w:r>
                      <w:rPr>
                        <w:color w:val="231F20"/>
                        <w:spacing w:val="15"/>
                      </w:rPr>
                      <w:t> </w:t>
                    </w:r>
                    <w:r>
                      <w:rPr>
                        <w:color w:val="231F20"/>
                      </w:rPr>
                      <w:t>I-</w:t>
                    </w:r>
                    <w:r>
                      <w:rPr>
                        <w:color w:val="231F20"/>
                      </w:rPr>
                      <w:fldChar w:fldCharType="begin"/>
                    </w:r>
                    <w:r>
                      <w:rPr>
                        <w:color w:val="231F20"/>
                      </w:rPr>
                      <w:instrText> PAGE </w:instrText>
                    </w:r>
                    <w:r>
                      <w:rPr>
                        <w:color w:val="231F20"/>
                      </w:rPr>
                      <w:fldChar w:fldCharType="separate"/>
                    </w:r>
                    <w:r>
                      <w:rPr>
                        <w:color w:val="231F20"/>
                      </w:rPr>
                      <w:t>10</w:t>
                    </w:r>
                    <w:r>
                      <w:rPr>
                        <w:color w:val="231F20"/>
                      </w:rPr>
                      <w:fldChar w:fldCharType="end"/>
                    </w:r>
                    <w:r>
                      <w:rPr>
                        <w:color w:val="231F20"/>
                        <w:spacing w:val="15"/>
                      </w:rPr>
                      <w:t> </w:t>
                    </w:r>
                    <w:r>
                      <w:rPr>
                        <w:color w:val="231F20"/>
                        <w:spacing w:val="-10"/>
                      </w:rPr>
                      <w:t>–</w:t>
                    </w:r>
                  </w:p>
                </w:txbxContent>
              </v:textbox>
              <w10:wrap type="none"/>
            </v:shape>
          </w:pict>
        </mc:Fallback>
      </mc:AlternateContent>
    </w:r>
  </w:p>
</w:ftr>
</file>

<file path=word/footer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6557696">
              <wp:simplePos x="0" y="0"/>
              <wp:positionH relativeFrom="page">
                <wp:posOffset>3465360</wp:posOffset>
              </wp:positionH>
              <wp:positionV relativeFrom="page">
                <wp:posOffset>9576138</wp:posOffset>
              </wp:positionV>
              <wp:extent cx="629285" cy="167640"/>
              <wp:effectExtent l="0" t="0" r="0" b="0"/>
              <wp:wrapNone/>
              <wp:docPr id="32" name="Textbox 32"/>
              <wp:cNvGraphicFramePr>
                <a:graphicFrameLocks/>
              </wp:cNvGraphicFramePr>
              <a:graphic>
                <a:graphicData uri="http://schemas.microsoft.com/office/word/2010/wordprocessingShape">
                  <wps:wsp>
                    <wps:cNvPr id="32" name="Textbox 32"/>
                    <wps:cNvSpPr txBox="1"/>
                    <wps:spPr>
                      <a:xfrm>
                        <a:off x="0" y="0"/>
                        <a:ext cx="629285" cy="167640"/>
                      </a:xfrm>
                      <a:prstGeom prst="rect">
                        <a:avLst/>
                      </a:prstGeom>
                    </wps:spPr>
                    <wps:txbx>
                      <w:txbxContent>
                        <w:p>
                          <w:pPr>
                            <w:pStyle w:val="BodyText"/>
                            <w:spacing w:before="13"/>
                            <w:ind w:left="20"/>
                          </w:pPr>
                          <w:r>
                            <w:rPr>
                              <w:color w:val="231F20"/>
                            </w:rPr>
                            <w:t>–</w:t>
                          </w:r>
                          <w:r>
                            <w:rPr>
                              <w:color w:val="231F20"/>
                              <w:spacing w:val="20"/>
                            </w:rPr>
                            <w:t> </w:t>
                          </w:r>
                          <w:r>
                            <w:rPr>
                              <w:color w:val="231F20"/>
                            </w:rPr>
                            <w:t>EGM-</w:t>
                          </w:r>
                          <w:r>
                            <w:rPr>
                              <w:color w:val="231F20"/>
                            </w:rPr>
                            <w:fldChar w:fldCharType="begin"/>
                          </w:r>
                          <w:r>
                            <w:rPr>
                              <w:color w:val="231F20"/>
                            </w:rPr>
                            <w:instrText> PAGE </w:instrText>
                          </w:r>
                          <w:r>
                            <w:rPr>
                              <w:color w:val="231F20"/>
                            </w:rPr>
                            <w:fldChar w:fldCharType="separate"/>
                          </w:r>
                          <w:r>
                            <w:rPr>
                              <w:color w:val="231F20"/>
                            </w:rPr>
                            <w:t>1</w:t>
                          </w:r>
                          <w:r>
                            <w:rPr>
                              <w:color w:val="231F20"/>
                            </w:rPr>
                            <w:fldChar w:fldCharType="end"/>
                          </w:r>
                          <w:r>
                            <w:rPr>
                              <w:color w:val="231F20"/>
                              <w:spacing w:val="20"/>
                            </w:rPr>
                            <w:t> </w:t>
                          </w:r>
                          <w:r>
                            <w:rPr>
                              <w:color w:val="231F20"/>
                              <w:spacing w:val="-10"/>
                            </w:rPr>
                            <w:t>–</w:t>
                          </w:r>
                        </w:p>
                      </w:txbxContent>
                    </wps:txbx>
                    <wps:bodyPr wrap="square" lIns="0" tIns="0" rIns="0" bIns="0" rtlCol="0">
                      <a:noAutofit/>
                    </wps:bodyPr>
                  </wps:wsp>
                </a:graphicData>
              </a:graphic>
            </wp:anchor>
          </w:drawing>
        </mc:Choice>
        <mc:Fallback>
          <w:pict>
            <v:shape style="position:absolute;margin-left:272.863007pt;margin-top:754.026672pt;width:49.55pt;height:13.2pt;mso-position-horizontal-relative:page;mso-position-vertical-relative:page;z-index:-16758784" type="#_x0000_t202" id="docshape21" filled="false" stroked="false">
              <v:textbox inset="0,0,0,0">
                <w:txbxContent>
                  <w:p>
                    <w:pPr>
                      <w:pStyle w:val="BodyText"/>
                      <w:spacing w:before="13"/>
                      <w:ind w:left="20"/>
                    </w:pPr>
                    <w:r>
                      <w:rPr>
                        <w:color w:val="231F20"/>
                      </w:rPr>
                      <w:t>–</w:t>
                    </w:r>
                    <w:r>
                      <w:rPr>
                        <w:color w:val="231F20"/>
                        <w:spacing w:val="20"/>
                      </w:rPr>
                      <w:t> </w:t>
                    </w:r>
                    <w:r>
                      <w:rPr>
                        <w:color w:val="231F20"/>
                      </w:rPr>
                      <w:t>EGM-</w:t>
                    </w:r>
                    <w:r>
                      <w:rPr>
                        <w:color w:val="231F20"/>
                      </w:rPr>
                      <w:fldChar w:fldCharType="begin"/>
                    </w:r>
                    <w:r>
                      <w:rPr>
                        <w:color w:val="231F20"/>
                      </w:rPr>
                      <w:instrText> PAGE </w:instrText>
                    </w:r>
                    <w:r>
                      <w:rPr>
                        <w:color w:val="231F20"/>
                      </w:rPr>
                      <w:fldChar w:fldCharType="separate"/>
                    </w:r>
                    <w:r>
                      <w:rPr>
                        <w:color w:val="231F20"/>
                      </w:rPr>
                      <w:t>1</w:t>
                    </w:r>
                    <w:r>
                      <w:rPr>
                        <w:color w:val="231F20"/>
                      </w:rPr>
                      <w:fldChar w:fldCharType="end"/>
                    </w:r>
                    <w:r>
                      <w:rPr>
                        <w:color w:val="231F20"/>
                        <w:spacing w:val="20"/>
                      </w:rPr>
                      <w:t> </w:t>
                    </w:r>
                    <w:r>
                      <w:rPr>
                        <w:color w:val="231F20"/>
                        <w:spacing w:val="-10"/>
                      </w:rPr>
                      <w:t>–</w:t>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6545920">
              <wp:simplePos x="0" y="0"/>
              <wp:positionH relativeFrom="page">
                <wp:posOffset>899999</wp:posOffset>
              </wp:positionH>
              <wp:positionV relativeFrom="page">
                <wp:posOffset>363176</wp:posOffset>
              </wp:positionV>
              <wp:extent cx="5760085" cy="1270"/>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5760085" cy="1270"/>
                      </a:xfrm>
                      <a:custGeom>
                        <a:avLst/>
                        <a:gdLst/>
                        <a:ahLst/>
                        <a:cxnLst/>
                        <a:rect l="l" t="t" r="r" b="b"/>
                        <a:pathLst>
                          <a:path w="5760085" h="0">
                            <a:moveTo>
                              <a:pt x="0" y="0"/>
                            </a:moveTo>
                            <a:lnTo>
                              <a:pt x="5759996"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6770560" from="70.866096pt,28.596588pt" to="524.409096pt,28.596588pt" stroked="true" strokeweight=".5pt" strokecolor="#231f20">
              <v:stroke dashstyle="solid"/>
              <w10:wrap type="none"/>
            </v:line>
          </w:pict>
        </mc:Fallback>
      </mc:AlternateContent>
    </w:r>
    <w:r>
      <w:rPr/>
      <mc:AlternateContent>
        <mc:Choice Requires="wps">
          <w:drawing>
            <wp:anchor distT="0" distB="0" distL="0" distR="0" allowOverlap="1" layoutInCell="1" locked="0" behindDoc="1" simplePos="0" relativeHeight="486546432">
              <wp:simplePos x="0" y="0"/>
              <wp:positionH relativeFrom="page">
                <wp:posOffset>899999</wp:posOffset>
              </wp:positionH>
              <wp:positionV relativeFrom="page">
                <wp:posOffset>615177</wp:posOffset>
              </wp:positionV>
              <wp:extent cx="5760085" cy="1270"/>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5760085" cy="1270"/>
                      </a:xfrm>
                      <a:custGeom>
                        <a:avLst/>
                        <a:gdLst/>
                        <a:ahLst/>
                        <a:cxnLst/>
                        <a:rect l="l" t="t" r="r" b="b"/>
                        <a:pathLst>
                          <a:path w="5760085" h="0">
                            <a:moveTo>
                              <a:pt x="0" y="0"/>
                            </a:moveTo>
                            <a:lnTo>
                              <a:pt x="5759996"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6770048" from="70.866096pt,48.43919pt" to="524.409096pt,48.43919pt" stroked="true" strokeweight=".5pt" strokecolor="#231f20">
              <v:stroke dashstyle="solid"/>
              <w10:wrap type="none"/>
            </v:line>
          </w:pict>
        </mc:Fallback>
      </mc:AlternateContent>
    </w:r>
    <w:r>
      <w:rPr/>
      <mc:AlternateContent>
        <mc:Choice Requires="wps">
          <w:drawing>
            <wp:anchor distT="0" distB="0" distL="0" distR="0" allowOverlap="1" layoutInCell="1" locked="0" behindDoc="1" simplePos="0" relativeHeight="486546944">
              <wp:simplePos x="0" y="0"/>
              <wp:positionH relativeFrom="page">
                <wp:posOffset>926748</wp:posOffset>
              </wp:positionH>
              <wp:positionV relativeFrom="page">
                <wp:posOffset>374665</wp:posOffset>
              </wp:positionV>
              <wp:extent cx="5710555" cy="231775"/>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5710555" cy="231775"/>
                      </a:xfrm>
                      <a:prstGeom prst="rect">
                        <a:avLst/>
                      </a:prstGeom>
                    </wps:spPr>
                    <wps:txbx>
                      <w:txbxContent>
                        <w:p>
                          <w:pPr>
                            <w:spacing w:before="22"/>
                            <w:ind w:left="20" w:right="0" w:firstLine="0"/>
                            <w:jc w:val="left"/>
                            <w:rPr>
                              <w:b/>
                              <w:sz w:val="28"/>
                            </w:rPr>
                          </w:pPr>
                          <w:r>
                            <w:rPr>
                              <w:b/>
                              <w:color w:val="231F20"/>
                              <w:w w:val="75"/>
                              <w:sz w:val="28"/>
                            </w:rPr>
                            <w:t>THIS</w:t>
                          </w:r>
                          <w:r>
                            <w:rPr>
                              <w:b/>
                              <w:color w:val="231F20"/>
                              <w:spacing w:val="41"/>
                              <w:sz w:val="28"/>
                            </w:rPr>
                            <w:t> </w:t>
                          </w:r>
                          <w:r>
                            <w:rPr>
                              <w:b/>
                              <w:color w:val="231F20"/>
                              <w:w w:val="75"/>
                              <w:sz w:val="28"/>
                            </w:rPr>
                            <w:t>CIRCULAR</w:t>
                          </w:r>
                          <w:r>
                            <w:rPr>
                              <w:b/>
                              <w:color w:val="231F20"/>
                              <w:spacing w:val="41"/>
                              <w:sz w:val="28"/>
                            </w:rPr>
                            <w:t> </w:t>
                          </w:r>
                          <w:r>
                            <w:rPr>
                              <w:b/>
                              <w:color w:val="231F20"/>
                              <w:w w:val="75"/>
                              <w:sz w:val="28"/>
                            </w:rPr>
                            <w:t>IS</w:t>
                          </w:r>
                          <w:r>
                            <w:rPr>
                              <w:b/>
                              <w:color w:val="231F20"/>
                              <w:spacing w:val="42"/>
                              <w:sz w:val="28"/>
                            </w:rPr>
                            <w:t> </w:t>
                          </w:r>
                          <w:r>
                            <w:rPr>
                              <w:b/>
                              <w:color w:val="231F20"/>
                              <w:w w:val="75"/>
                              <w:sz w:val="28"/>
                            </w:rPr>
                            <w:t>IMPORTANT</w:t>
                          </w:r>
                          <w:r>
                            <w:rPr>
                              <w:b/>
                              <w:color w:val="231F20"/>
                              <w:spacing w:val="41"/>
                              <w:sz w:val="28"/>
                            </w:rPr>
                            <w:t> </w:t>
                          </w:r>
                          <w:r>
                            <w:rPr>
                              <w:b/>
                              <w:color w:val="231F20"/>
                              <w:w w:val="75"/>
                              <w:sz w:val="28"/>
                            </w:rPr>
                            <w:t>AND</w:t>
                          </w:r>
                          <w:r>
                            <w:rPr>
                              <w:b/>
                              <w:color w:val="231F20"/>
                              <w:spacing w:val="42"/>
                              <w:sz w:val="28"/>
                            </w:rPr>
                            <w:t> </w:t>
                          </w:r>
                          <w:r>
                            <w:rPr>
                              <w:b/>
                              <w:color w:val="231F20"/>
                              <w:w w:val="75"/>
                              <w:sz w:val="28"/>
                            </w:rPr>
                            <w:t>REQUIRES</w:t>
                          </w:r>
                          <w:r>
                            <w:rPr>
                              <w:b/>
                              <w:color w:val="231F20"/>
                              <w:spacing w:val="41"/>
                              <w:sz w:val="28"/>
                            </w:rPr>
                            <w:t> </w:t>
                          </w:r>
                          <w:r>
                            <w:rPr>
                              <w:b/>
                              <w:color w:val="231F20"/>
                              <w:w w:val="75"/>
                              <w:sz w:val="28"/>
                            </w:rPr>
                            <w:t>YOUR</w:t>
                          </w:r>
                          <w:r>
                            <w:rPr>
                              <w:b/>
                              <w:color w:val="231F20"/>
                              <w:spacing w:val="41"/>
                              <w:sz w:val="28"/>
                            </w:rPr>
                            <w:t> </w:t>
                          </w:r>
                          <w:r>
                            <w:rPr>
                              <w:b/>
                              <w:color w:val="231F20"/>
                              <w:w w:val="75"/>
                              <w:sz w:val="28"/>
                            </w:rPr>
                            <w:t>IMMEDIATE</w:t>
                          </w:r>
                          <w:r>
                            <w:rPr>
                              <w:b/>
                              <w:color w:val="231F20"/>
                              <w:spacing w:val="42"/>
                              <w:sz w:val="28"/>
                            </w:rPr>
                            <w:t> </w:t>
                          </w:r>
                          <w:r>
                            <w:rPr>
                              <w:b/>
                              <w:color w:val="231F20"/>
                              <w:spacing w:val="-2"/>
                              <w:w w:val="75"/>
                              <w:sz w:val="28"/>
                            </w:rPr>
                            <w:t>ATTENTION</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72.972298pt;margin-top:29.501188pt;width:449.65pt;height:18.25pt;mso-position-horizontal-relative:page;mso-position-vertical-relative:page;z-index:-16769536" type="#_x0000_t202" id="docshape1" filled="false" stroked="false">
              <v:textbox inset="0,0,0,0">
                <w:txbxContent>
                  <w:p>
                    <w:pPr>
                      <w:spacing w:before="22"/>
                      <w:ind w:left="20" w:right="0" w:firstLine="0"/>
                      <w:jc w:val="left"/>
                      <w:rPr>
                        <w:b/>
                        <w:sz w:val="28"/>
                      </w:rPr>
                    </w:pPr>
                    <w:r>
                      <w:rPr>
                        <w:b/>
                        <w:color w:val="231F20"/>
                        <w:w w:val="75"/>
                        <w:sz w:val="28"/>
                      </w:rPr>
                      <w:t>THIS</w:t>
                    </w:r>
                    <w:r>
                      <w:rPr>
                        <w:b/>
                        <w:color w:val="231F20"/>
                        <w:spacing w:val="41"/>
                        <w:sz w:val="28"/>
                      </w:rPr>
                      <w:t> </w:t>
                    </w:r>
                    <w:r>
                      <w:rPr>
                        <w:b/>
                        <w:color w:val="231F20"/>
                        <w:w w:val="75"/>
                        <w:sz w:val="28"/>
                      </w:rPr>
                      <w:t>CIRCULAR</w:t>
                    </w:r>
                    <w:r>
                      <w:rPr>
                        <w:b/>
                        <w:color w:val="231F20"/>
                        <w:spacing w:val="41"/>
                        <w:sz w:val="28"/>
                      </w:rPr>
                      <w:t> </w:t>
                    </w:r>
                    <w:r>
                      <w:rPr>
                        <w:b/>
                        <w:color w:val="231F20"/>
                        <w:w w:val="75"/>
                        <w:sz w:val="28"/>
                      </w:rPr>
                      <w:t>IS</w:t>
                    </w:r>
                    <w:r>
                      <w:rPr>
                        <w:b/>
                        <w:color w:val="231F20"/>
                        <w:spacing w:val="42"/>
                        <w:sz w:val="28"/>
                      </w:rPr>
                      <w:t> </w:t>
                    </w:r>
                    <w:r>
                      <w:rPr>
                        <w:b/>
                        <w:color w:val="231F20"/>
                        <w:w w:val="75"/>
                        <w:sz w:val="28"/>
                      </w:rPr>
                      <w:t>IMPORTANT</w:t>
                    </w:r>
                    <w:r>
                      <w:rPr>
                        <w:b/>
                        <w:color w:val="231F20"/>
                        <w:spacing w:val="41"/>
                        <w:sz w:val="28"/>
                      </w:rPr>
                      <w:t> </w:t>
                    </w:r>
                    <w:r>
                      <w:rPr>
                        <w:b/>
                        <w:color w:val="231F20"/>
                        <w:w w:val="75"/>
                        <w:sz w:val="28"/>
                      </w:rPr>
                      <w:t>AND</w:t>
                    </w:r>
                    <w:r>
                      <w:rPr>
                        <w:b/>
                        <w:color w:val="231F20"/>
                        <w:spacing w:val="42"/>
                        <w:sz w:val="28"/>
                      </w:rPr>
                      <w:t> </w:t>
                    </w:r>
                    <w:r>
                      <w:rPr>
                        <w:b/>
                        <w:color w:val="231F20"/>
                        <w:w w:val="75"/>
                        <w:sz w:val="28"/>
                      </w:rPr>
                      <w:t>REQUIRES</w:t>
                    </w:r>
                    <w:r>
                      <w:rPr>
                        <w:b/>
                        <w:color w:val="231F20"/>
                        <w:spacing w:val="41"/>
                        <w:sz w:val="28"/>
                      </w:rPr>
                      <w:t> </w:t>
                    </w:r>
                    <w:r>
                      <w:rPr>
                        <w:b/>
                        <w:color w:val="231F20"/>
                        <w:w w:val="75"/>
                        <w:sz w:val="28"/>
                      </w:rPr>
                      <w:t>YOUR</w:t>
                    </w:r>
                    <w:r>
                      <w:rPr>
                        <w:b/>
                        <w:color w:val="231F20"/>
                        <w:spacing w:val="41"/>
                        <w:sz w:val="28"/>
                      </w:rPr>
                      <w:t> </w:t>
                    </w:r>
                    <w:r>
                      <w:rPr>
                        <w:b/>
                        <w:color w:val="231F20"/>
                        <w:w w:val="75"/>
                        <w:sz w:val="28"/>
                      </w:rPr>
                      <w:t>IMMEDIATE</w:t>
                    </w:r>
                    <w:r>
                      <w:rPr>
                        <w:b/>
                        <w:color w:val="231F20"/>
                        <w:spacing w:val="42"/>
                        <w:sz w:val="28"/>
                      </w:rPr>
                      <w:t> </w:t>
                    </w:r>
                    <w:r>
                      <w:rPr>
                        <w:b/>
                        <w:color w:val="231F20"/>
                        <w:spacing w:val="-2"/>
                        <w:w w:val="75"/>
                        <w:sz w:val="28"/>
                      </w:rPr>
                      <w:t>ATTENTION</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6547456">
              <wp:simplePos x="0" y="0"/>
              <wp:positionH relativeFrom="page">
                <wp:posOffset>899999</wp:posOffset>
              </wp:positionH>
              <wp:positionV relativeFrom="page">
                <wp:posOffset>363176</wp:posOffset>
              </wp:positionV>
              <wp:extent cx="5760085" cy="1270"/>
              <wp:effectExtent l="0" t="0" r="0" b="0"/>
              <wp:wrapNone/>
              <wp:docPr id="9" name="Graphic 9"/>
              <wp:cNvGraphicFramePr>
                <a:graphicFrameLocks/>
              </wp:cNvGraphicFramePr>
              <a:graphic>
                <a:graphicData uri="http://schemas.microsoft.com/office/word/2010/wordprocessingShape">
                  <wps:wsp>
                    <wps:cNvPr id="9" name="Graphic 9"/>
                    <wps:cNvSpPr/>
                    <wps:spPr>
                      <a:xfrm>
                        <a:off x="0" y="0"/>
                        <a:ext cx="5760085" cy="1270"/>
                      </a:xfrm>
                      <a:custGeom>
                        <a:avLst/>
                        <a:gdLst/>
                        <a:ahLst/>
                        <a:cxnLst/>
                        <a:rect l="l" t="t" r="r" b="b"/>
                        <a:pathLst>
                          <a:path w="5760085" h="0">
                            <a:moveTo>
                              <a:pt x="0" y="0"/>
                            </a:moveTo>
                            <a:lnTo>
                              <a:pt x="5759996"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6769024" from="70.866096pt,28.596588pt" to="524.409096pt,28.596588pt" stroked="true" strokeweight=".5pt" strokecolor="#231f20">
              <v:stroke dashstyle="solid"/>
              <w10:wrap type="none"/>
            </v:line>
          </w:pict>
        </mc:Fallback>
      </mc:AlternateContent>
    </w:r>
    <w:r>
      <w:rPr/>
      <mc:AlternateContent>
        <mc:Choice Requires="wps">
          <w:drawing>
            <wp:anchor distT="0" distB="0" distL="0" distR="0" allowOverlap="1" layoutInCell="1" locked="0" behindDoc="1" simplePos="0" relativeHeight="486547968">
              <wp:simplePos x="0" y="0"/>
              <wp:positionH relativeFrom="page">
                <wp:posOffset>899999</wp:posOffset>
              </wp:positionH>
              <wp:positionV relativeFrom="page">
                <wp:posOffset>615177</wp:posOffset>
              </wp:positionV>
              <wp:extent cx="5760085" cy="1270"/>
              <wp:effectExtent l="0" t="0" r="0" b="0"/>
              <wp:wrapNone/>
              <wp:docPr id="10" name="Graphic 10"/>
              <wp:cNvGraphicFramePr>
                <a:graphicFrameLocks/>
              </wp:cNvGraphicFramePr>
              <a:graphic>
                <a:graphicData uri="http://schemas.microsoft.com/office/word/2010/wordprocessingShape">
                  <wps:wsp>
                    <wps:cNvPr id="10" name="Graphic 10"/>
                    <wps:cNvSpPr/>
                    <wps:spPr>
                      <a:xfrm>
                        <a:off x="0" y="0"/>
                        <a:ext cx="5760085" cy="1270"/>
                      </a:xfrm>
                      <a:custGeom>
                        <a:avLst/>
                        <a:gdLst/>
                        <a:ahLst/>
                        <a:cxnLst/>
                        <a:rect l="l" t="t" r="r" b="b"/>
                        <a:pathLst>
                          <a:path w="5760085" h="0">
                            <a:moveTo>
                              <a:pt x="0" y="0"/>
                            </a:moveTo>
                            <a:lnTo>
                              <a:pt x="5759996"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6768512" from="70.866096pt,48.43919pt" to="524.409096pt,48.43919pt" stroked="true" strokeweight=".5pt" strokecolor="#231f20">
              <v:stroke dashstyle="solid"/>
              <w10:wrap type="none"/>
            </v:line>
          </w:pict>
        </mc:Fallback>
      </mc:AlternateContent>
    </w:r>
    <w:r>
      <w:rPr/>
      <mc:AlternateContent>
        <mc:Choice Requires="wps">
          <w:drawing>
            <wp:anchor distT="0" distB="0" distL="0" distR="0" allowOverlap="1" layoutInCell="1" locked="0" behindDoc="1" simplePos="0" relativeHeight="486548480">
              <wp:simplePos x="0" y="0"/>
              <wp:positionH relativeFrom="page">
                <wp:posOffset>3262710</wp:posOffset>
              </wp:positionH>
              <wp:positionV relativeFrom="page">
                <wp:posOffset>374665</wp:posOffset>
              </wp:positionV>
              <wp:extent cx="1039494" cy="231775"/>
              <wp:effectExtent l="0" t="0" r="0" b="0"/>
              <wp:wrapNone/>
              <wp:docPr id="11" name="Textbox 11"/>
              <wp:cNvGraphicFramePr>
                <a:graphicFrameLocks/>
              </wp:cNvGraphicFramePr>
              <a:graphic>
                <a:graphicData uri="http://schemas.microsoft.com/office/word/2010/wordprocessingShape">
                  <wps:wsp>
                    <wps:cNvPr id="11" name="Textbox 11"/>
                    <wps:cNvSpPr txBox="1"/>
                    <wps:spPr>
                      <a:xfrm>
                        <a:off x="0" y="0"/>
                        <a:ext cx="1039494" cy="231775"/>
                      </a:xfrm>
                      <a:prstGeom prst="rect">
                        <a:avLst/>
                      </a:prstGeom>
                    </wps:spPr>
                    <wps:txbx>
                      <w:txbxContent>
                        <w:p>
                          <w:pPr>
                            <w:spacing w:before="22"/>
                            <w:ind w:left="20" w:right="0" w:firstLine="0"/>
                            <w:jc w:val="left"/>
                            <w:rPr>
                              <w:b/>
                              <w:sz w:val="28"/>
                            </w:rPr>
                          </w:pPr>
                          <w:r>
                            <w:rPr>
                              <w:b/>
                              <w:color w:val="231F20"/>
                              <w:spacing w:val="-2"/>
                              <w:sz w:val="28"/>
                            </w:rPr>
                            <w:t>CONTENTS</w:t>
                          </w:r>
                        </w:p>
                      </w:txbxContent>
                    </wps:txbx>
                    <wps:bodyPr wrap="square" lIns="0" tIns="0" rIns="0" bIns="0" rtlCol="0">
                      <a:noAutofit/>
                    </wps:bodyPr>
                  </wps:wsp>
                </a:graphicData>
              </a:graphic>
            </wp:anchor>
          </w:drawing>
        </mc:Choice>
        <mc:Fallback>
          <w:pict>
            <v:shape style="position:absolute;margin-left:256.906311pt;margin-top:29.501188pt;width:81.850pt;height:18.25pt;mso-position-horizontal-relative:page;mso-position-vertical-relative:page;z-index:-16768000" type="#_x0000_t202" id="docshape7" filled="false" stroked="false">
              <v:textbox inset="0,0,0,0">
                <w:txbxContent>
                  <w:p>
                    <w:pPr>
                      <w:spacing w:before="22"/>
                      <w:ind w:left="20" w:right="0" w:firstLine="0"/>
                      <w:jc w:val="left"/>
                      <w:rPr>
                        <w:b/>
                        <w:sz w:val="28"/>
                      </w:rPr>
                    </w:pPr>
                    <w:r>
                      <w:rPr>
                        <w:b/>
                        <w:color w:val="231F20"/>
                        <w:spacing w:val="-2"/>
                        <w:sz w:val="28"/>
                      </w:rPr>
                      <w:t>CONTENTS</w:t>
                    </w:r>
                  </w:p>
                </w:txbxContent>
              </v:textbox>
              <w10:wrap type="none"/>
            </v:shape>
          </w:pict>
        </mc:Fallback>
      </mc:AlternateContent>
    </w:r>
  </w:p>
</w:hdr>
</file>

<file path=word/header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6549504">
              <wp:simplePos x="0" y="0"/>
              <wp:positionH relativeFrom="page">
                <wp:posOffset>899999</wp:posOffset>
              </wp:positionH>
              <wp:positionV relativeFrom="page">
                <wp:posOffset>363176</wp:posOffset>
              </wp:positionV>
              <wp:extent cx="5760085" cy="1270"/>
              <wp:effectExtent l="0" t="0" r="0" b="0"/>
              <wp:wrapNone/>
              <wp:docPr id="13" name="Graphic 13"/>
              <wp:cNvGraphicFramePr>
                <a:graphicFrameLocks/>
              </wp:cNvGraphicFramePr>
              <a:graphic>
                <a:graphicData uri="http://schemas.microsoft.com/office/word/2010/wordprocessingShape">
                  <wps:wsp>
                    <wps:cNvPr id="13" name="Graphic 13"/>
                    <wps:cNvSpPr/>
                    <wps:spPr>
                      <a:xfrm>
                        <a:off x="0" y="0"/>
                        <a:ext cx="5760085" cy="1270"/>
                      </a:xfrm>
                      <a:custGeom>
                        <a:avLst/>
                        <a:gdLst/>
                        <a:ahLst/>
                        <a:cxnLst/>
                        <a:rect l="l" t="t" r="r" b="b"/>
                        <a:pathLst>
                          <a:path w="5760085" h="0">
                            <a:moveTo>
                              <a:pt x="0" y="0"/>
                            </a:moveTo>
                            <a:lnTo>
                              <a:pt x="5759996"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6766976" from="70.866096pt,28.596588pt" to="524.409096pt,28.596588pt" stroked="true" strokeweight=".5pt" strokecolor="#231f20">
              <v:stroke dashstyle="solid"/>
              <w10:wrap type="none"/>
            </v:line>
          </w:pict>
        </mc:Fallback>
      </mc:AlternateContent>
    </w:r>
    <w:r>
      <w:rPr/>
      <mc:AlternateContent>
        <mc:Choice Requires="wps">
          <w:drawing>
            <wp:anchor distT="0" distB="0" distL="0" distR="0" allowOverlap="1" layoutInCell="1" locked="0" behindDoc="1" simplePos="0" relativeHeight="486550016">
              <wp:simplePos x="0" y="0"/>
              <wp:positionH relativeFrom="page">
                <wp:posOffset>899999</wp:posOffset>
              </wp:positionH>
              <wp:positionV relativeFrom="page">
                <wp:posOffset>615177</wp:posOffset>
              </wp:positionV>
              <wp:extent cx="5760085" cy="1270"/>
              <wp:effectExtent l="0" t="0" r="0" b="0"/>
              <wp:wrapNone/>
              <wp:docPr id="14" name="Graphic 14"/>
              <wp:cNvGraphicFramePr>
                <a:graphicFrameLocks/>
              </wp:cNvGraphicFramePr>
              <a:graphic>
                <a:graphicData uri="http://schemas.microsoft.com/office/word/2010/wordprocessingShape">
                  <wps:wsp>
                    <wps:cNvPr id="14" name="Graphic 14"/>
                    <wps:cNvSpPr/>
                    <wps:spPr>
                      <a:xfrm>
                        <a:off x="0" y="0"/>
                        <a:ext cx="5760085" cy="1270"/>
                      </a:xfrm>
                      <a:custGeom>
                        <a:avLst/>
                        <a:gdLst/>
                        <a:ahLst/>
                        <a:cxnLst/>
                        <a:rect l="l" t="t" r="r" b="b"/>
                        <a:pathLst>
                          <a:path w="5760085" h="0">
                            <a:moveTo>
                              <a:pt x="0" y="0"/>
                            </a:moveTo>
                            <a:lnTo>
                              <a:pt x="5759996"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6766464" from="70.866096pt,48.43919pt" to="524.409096pt,48.43919pt" stroked="true" strokeweight=".5pt" strokecolor="#231f20">
              <v:stroke dashstyle="solid"/>
              <w10:wrap type="none"/>
            </v:line>
          </w:pict>
        </mc:Fallback>
      </mc:AlternateContent>
    </w:r>
    <w:r>
      <w:rPr/>
      <mc:AlternateContent>
        <mc:Choice Requires="wps">
          <w:drawing>
            <wp:anchor distT="0" distB="0" distL="0" distR="0" allowOverlap="1" layoutInCell="1" locked="0" behindDoc="1" simplePos="0" relativeHeight="486550528">
              <wp:simplePos x="0" y="0"/>
              <wp:positionH relativeFrom="page">
                <wp:posOffset>3157275</wp:posOffset>
              </wp:positionH>
              <wp:positionV relativeFrom="page">
                <wp:posOffset>374665</wp:posOffset>
              </wp:positionV>
              <wp:extent cx="1250315" cy="231775"/>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1250315" cy="231775"/>
                      </a:xfrm>
                      <a:prstGeom prst="rect">
                        <a:avLst/>
                      </a:prstGeom>
                    </wps:spPr>
                    <wps:txbx>
                      <w:txbxContent>
                        <w:p>
                          <w:pPr>
                            <w:spacing w:before="22"/>
                            <w:ind w:left="20" w:right="0" w:firstLine="0"/>
                            <w:jc w:val="left"/>
                            <w:rPr>
                              <w:b/>
                              <w:sz w:val="28"/>
                            </w:rPr>
                          </w:pPr>
                          <w:r>
                            <w:rPr>
                              <w:b/>
                              <w:color w:val="231F20"/>
                              <w:spacing w:val="-2"/>
                              <w:sz w:val="28"/>
                            </w:rPr>
                            <w:t>DEFINITIONS</w:t>
                          </w:r>
                        </w:p>
                      </w:txbxContent>
                    </wps:txbx>
                    <wps:bodyPr wrap="square" lIns="0" tIns="0" rIns="0" bIns="0" rtlCol="0">
                      <a:noAutofit/>
                    </wps:bodyPr>
                  </wps:wsp>
                </a:graphicData>
              </a:graphic>
            </wp:anchor>
          </w:drawing>
        </mc:Choice>
        <mc:Fallback>
          <w:pict>
            <v:shape style="position:absolute;margin-left:248.604401pt;margin-top:29.501188pt;width:98.45pt;height:18.25pt;mso-position-horizontal-relative:page;mso-position-vertical-relative:page;z-index:-16765952" type="#_x0000_t202" id="docshape9" filled="false" stroked="false">
              <v:textbox inset="0,0,0,0">
                <w:txbxContent>
                  <w:p>
                    <w:pPr>
                      <w:spacing w:before="22"/>
                      <w:ind w:left="20" w:right="0" w:firstLine="0"/>
                      <w:jc w:val="left"/>
                      <w:rPr>
                        <w:b/>
                        <w:sz w:val="28"/>
                      </w:rPr>
                    </w:pPr>
                    <w:r>
                      <w:rPr>
                        <w:b/>
                        <w:color w:val="231F20"/>
                        <w:spacing w:val="-2"/>
                        <w:sz w:val="28"/>
                      </w:rPr>
                      <w:t>DEFINITIONS</w:t>
                    </w:r>
                  </w:p>
                </w:txbxContent>
              </v:textbox>
              <w10:wrap type="none"/>
            </v:shape>
          </w:pict>
        </mc:Fallback>
      </mc:AlternateContent>
    </w:r>
  </w:p>
</w:hdr>
</file>

<file path=word/header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6551552">
              <wp:simplePos x="0" y="0"/>
              <wp:positionH relativeFrom="page">
                <wp:posOffset>899999</wp:posOffset>
              </wp:positionH>
              <wp:positionV relativeFrom="page">
                <wp:posOffset>363176</wp:posOffset>
              </wp:positionV>
              <wp:extent cx="5760085" cy="1270"/>
              <wp:effectExtent l="0" t="0" r="0" b="0"/>
              <wp:wrapNone/>
              <wp:docPr id="17" name="Graphic 17"/>
              <wp:cNvGraphicFramePr>
                <a:graphicFrameLocks/>
              </wp:cNvGraphicFramePr>
              <a:graphic>
                <a:graphicData uri="http://schemas.microsoft.com/office/word/2010/wordprocessingShape">
                  <wps:wsp>
                    <wps:cNvPr id="17" name="Graphic 17"/>
                    <wps:cNvSpPr/>
                    <wps:spPr>
                      <a:xfrm>
                        <a:off x="0" y="0"/>
                        <a:ext cx="5760085" cy="1270"/>
                      </a:xfrm>
                      <a:custGeom>
                        <a:avLst/>
                        <a:gdLst/>
                        <a:ahLst/>
                        <a:cxnLst/>
                        <a:rect l="l" t="t" r="r" b="b"/>
                        <a:pathLst>
                          <a:path w="5760085" h="0">
                            <a:moveTo>
                              <a:pt x="0" y="0"/>
                            </a:moveTo>
                            <a:lnTo>
                              <a:pt x="5759996"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6764928" from="70.866096pt,28.596588pt" to="524.409096pt,28.596588pt" stroked="true" strokeweight=".5pt" strokecolor="#231f20">
              <v:stroke dashstyle="solid"/>
              <w10:wrap type="none"/>
            </v:line>
          </w:pict>
        </mc:Fallback>
      </mc:AlternateContent>
    </w:r>
    <w:r>
      <w:rPr/>
      <mc:AlternateContent>
        <mc:Choice Requires="wps">
          <w:drawing>
            <wp:anchor distT="0" distB="0" distL="0" distR="0" allowOverlap="1" layoutInCell="1" locked="0" behindDoc="1" simplePos="0" relativeHeight="486552064">
              <wp:simplePos x="0" y="0"/>
              <wp:positionH relativeFrom="page">
                <wp:posOffset>899999</wp:posOffset>
              </wp:positionH>
              <wp:positionV relativeFrom="page">
                <wp:posOffset>615177</wp:posOffset>
              </wp:positionV>
              <wp:extent cx="5760085" cy="1270"/>
              <wp:effectExtent l="0" t="0" r="0" b="0"/>
              <wp:wrapNone/>
              <wp:docPr id="18" name="Graphic 18"/>
              <wp:cNvGraphicFramePr>
                <a:graphicFrameLocks/>
              </wp:cNvGraphicFramePr>
              <a:graphic>
                <a:graphicData uri="http://schemas.microsoft.com/office/word/2010/wordprocessingShape">
                  <wps:wsp>
                    <wps:cNvPr id="18" name="Graphic 18"/>
                    <wps:cNvSpPr/>
                    <wps:spPr>
                      <a:xfrm>
                        <a:off x="0" y="0"/>
                        <a:ext cx="5760085" cy="1270"/>
                      </a:xfrm>
                      <a:custGeom>
                        <a:avLst/>
                        <a:gdLst/>
                        <a:ahLst/>
                        <a:cxnLst/>
                        <a:rect l="l" t="t" r="r" b="b"/>
                        <a:pathLst>
                          <a:path w="5760085" h="0">
                            <a:moveTo>
                              <a:pt x="0" y="0"/>
                            </a:moveTo>
                            <a:lnTo>
                              <a:pt x="5759996"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6764416" from="70.866096pt,48.43919pt" to="524.409096pt,48.43919pt" stroked="true" strokeweight=".5pt" strokecolor="#231f20">
              <v:stroke dashstyle="solid"/>
              <w10:wrap type="none"/>
            </v:line>
          </w:pict>
        </mc:Fallback>
      </mc:AlternateContent>
    </w:r>
    <w:r>
      <w:rPr/>
      <mc:AlternateContent>
        <mc:Choice Requires="wps">
          <w:drawing>
            <wp:anchor distT="0" distB="0" distL="0" distR="0" allowOverlap="1" layoutInCell="1" locked="0" behindDoc="1" simplePos="0" relativeHeight="486552576">
              <wp:simplePos x="0" y="0"/>
              <wp:positionH relativeFrom="page">
                <wp:posOffset>2515157</wp:posOffset>
              </wp:positionH>
              <wp:positionV relativeFrom="page">
                <wp:posOffset>374665</wp:posOffset>
              </wp:positionV>
              <wp:extent cx="2534285" cy="231775"/>
              <wp:effectExtent l="0" t="0" r="0" b="0"/>
              <wp:wrapNone/>
              <wp:docPr id="19" name="Textbox 19"/>
              <wp:cNvGraphicFramePr>
                <a:graphicFrameLocks/>
              </wp:cNvGraphicFramePr>
              <a:graphic>
                <a:graphicData uri="http://schemas.microsoft.com/office/word/2010/wordprocessingShape">
                  <wps:wsp>
                    <wps:cNvPr id="19" name="Textbox 19"/>
                    <wps:cNvSpPr txBox="1"/>
                    <wps:spPr>
                      <a:xfrm>
                        <a:off x="0" y="0"/>
                        <a:ext cx="2534285" cy="231775"/>
                      </a:xfrm>
                      <a:prstGeom prst="rect">
                        <a:avLst/>
                      </a:prstGeom>
                    </wps:spPr>
                    <wps:txbx>
                      <w:txbxContent>
                        <w:p>
                          <w:pPr>
                            <w:spacing w:before="22"/>
                            <w:ind w:left="20" w:right="0" w:firstLine="0"/>
                            <w:jc w:val="left"/>
                            <w:rPr>
                              <w:b/>
                              <w:sz w:val="28"/>
                            </w:rPr>
                          </w:pPr>
                          <w:r>
                            <w:rPr>
                              <w:b/>
                              <w:color w:val="231F20"/>
                              <w:sz w:val="28"/>
                            </w:rPr>
                            <w:t>LETTER</w:t>
                          </w:r>
                          <w:r>
                            <w:rPr>
                              <w:b/>
                              <w:color w:val="231F20"/>
                              <w:spacing w:val="32"/>
                              <w:sz w:val="28"/>
                            </w:rPr>
                            <w:t> </w:t>
                          </w:r>
                          <w:r>
                            <w:rPr>
                              <w:b/>
                              <w:color w:val="231F20"/>
                              <w:sz w:val="28"/>
                            </w:rPr>
                            <w:t>FROM</w:t>
                          </w:r>
                          <w:r>
                            <w:rPr>
                              <w:b/>
                              <w:color w:val="231F20"/>
                              <w:spacing w:val="34"/>
                              <w:sz w:val="28"/>
                            </w:rPr>
                            <w:t> </w:t>
                          </w:r>
                          <w:r>
                            <w:rPr>
                              <w:b/>
                              <w:color w:val="231F20"/>
                              <w:sz w:val="28"/>
                            </w:rPr>
                            <w:t>THE</w:t>
                          </w:r>
                          <w:r>
                            <w:rPr>
                              <w:b/>
                              <w:color w:val="231F20"/>
                              <w:spacing w:val="33"/>
                              <w:sz w:val="28"/>
                            </w:rPr>
                            <w:t> </w:t>
                          </w:r>
                          <w:r>
                            <w:rPr>
                              <w:b/>
                              <w:color w:val="231F20"/>
                              <w:spacing w:val="-2"/>
                              <w:sz w:val="28"/>
                            </w:rPr>
                            <w:t>BOARD</w:t>
                          </w:r>
                        </w:p>
                      </w:txbxContent>
                    </wps:txbx>
                    <wps:bodyPr wrap="square" lIns="0" tIns="0" rIns="0" bIns="0" rtlCol="0">
                      <a:noAutofit/>
                    </wps:bodyPr>
                  </wps:wsp>
                </a:graphicData>
              </a:graphic>
            </wp:anchor>
          </w:drawing>
        </mc:Choice>
        <mc:Fallback>
          <w:pict>
            <v:shape style="position:absolute;margin-left:198.0439pt;margin-top:29.501188pt;width:199.55pt;height:18.25pt;mso-position-horizontal-relative:page;mso-position-vertical-relative:page;z-index:-16763904" type="#_x0000_t202" id="docshape11" filled="false" stroked="false">
              <v:textbox inset="0,0,0,0">
                <w:txbxContent>
                  <w:p>
                    <w:pPr>
                      <w:spacing w:before="22"/>
                      <w:ind w:left="20" w:right="0" w:firstLine="0"/>
                      <w:jc w:val="left"/>
                      <w:rPr>
                        <w:b/>
                        <w:sz w:val="28"/>
                      </w:rPr>
                    </w:pPr>
                    <w:r>
                      <w:rPr>
                        <w:b/>
                        <w:color w:val="231F20"/>
                        <w:sz w:val="28"/>
                      </w:rPr>
                      <w:t>LETTER</w:t>
                    </w:r>
                    <w:r>
                      <w:rPr>
                        <w:b/>
                        <w:color w:val="231F20"/>
                        <w:spacing w:val="32"/>
                        <w:sz w:val="28"/>
                      </w:rPr>
                      <w:t> </w:t>
                    </w:r>
                    <w:r>
                      <w:rPr>
                        <w:b/>
                        <w:color w:val="231F20"/>
                        <w:sz w:val="28"/>
                      </w:rPr>
                      <w:t>FROM</w:t>
                    </w:r>
                    <w:r>
                      <w:rPr>
                        <w:b/>
                        <w:color w:val="231F20"/>
                        <w:spacing w:val="34"/>
                        <w:sz w:val="28"/>
                      </w:rPr>
                      <w:t> </w:t>
                    </w:r>
                    <w:r>
                      <w:rPr>
                        <w:b/>
                        <w:color w:val="231F20"/>
                        <w:sz w:val="28"/>
                      </w:rPr>
                      <w:t>THE</w:t>
                    </w:r>
                    <w:r>
                      <w:rPr>
                        <w:b/>
                        <w:color w:val="231F20"/>
                        <w:spacing w:val="33"/>
                        <w:sz w:val="28"/>
                      </w:rPr>
                      <w:t> </w:t>
                    </w:r>
                    <w:r>
                      <w:rPr>
                        <w:b/>
                        <w:color w:val="231F20"/>
                        <w:spacing w:val="-2"/>
                        <w:sz w:val="28"/>
                      </w:rPr>
                      <w:t>BOARD</w:t>
                    </w:r>
                  </w:p>
                </w:txbxContent>
              </v:textbox>
              <w10:wrap type="none"/>
            </v:shape>
          </w:pict>
        </mc:Fallback>
      </mc:AlternateContent>
    </w:r>
  </w:p>
</w:hdr>
</file>

<file path=word/header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6553600">
              <wp:simplePos x="0" y="0"/>
              <wp:positionH relativeFrom="page">
                <wp:posOffset>899999</wp:posOffset>
              </wp:positionH>
              <wp:positionV relativeFrom="page">
                <wp:posOffset>363176</wp:posOffset>
              </wp:positionV>
              <wp:extent cx="5760085" cy="1270"/>
              <wp:effectExtent l="0" t="0" r="0" b="0"/>
              <wp:wrapNone/>
              <wp:docPr id="24" name="Graphic 24"/>
              <wp:cNvGraphicFramePr>
                <a:graphicFrameLocks/>
              </wp:cNvGraphicFramePr>
              <a:graphic>
                <a:graphicData uri="http://schemas.microsoft.com/office/word/2010/wordprocessingShape">
                  <wps:wsp>
                    <wps:cNvPr id="24" name="Graphic 24"/>
                    <wps:cNvSpPr/>
                    <wps:spPr>
                      <a:xfrm>
                        <a:off x="0" y="0"/>
                        <a:ext cx="5760085" cy="1270"/>
                      </a:xfrm>
                      <a:custGeom>
                        <a:avLst/>
                        <a:gdLst/>
                        <a:ahLst/>
                        <a:cxnLst/>
                        <a:rect l="l" t="t" r="r" b="b"/>
                        <a:pathLst>
                          <a:path w="5760085" h="0">
                            <a:moveTo>
                              <a:pt x="0" y="0"/>
                            </a:moveTo>
                            <a:lnTo>
                              <a:pt x="5759996"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6762880" from="70.866096pt,28.596588pt" to="524.409096pt,28.596588pt" stroked="true" strokeweight=".5pt" strokecolor="#231f20">
              <v:stroke dashstyle="solid"/>
              <w10:wrap type="none"/>
            </v:line>
          </w:pict>
        </mc:Fallback>
      </mc:AlternateContent>
    </w:r>
    <w:r>
      <w:rPr/>
      <mc:AlternateContent>
        <mc:Choice Requires="wps">
          <w:drawing>
            <wp:anchor distT="0" distB="0" distL="0" distR="0" allowOverlap="1" layoutInCell="1" locked="0" behindDoc="1" simplePos="0" relativeHeight="486554112">
              <wp:simplePos x="0" y="0"/>
              <wp:positionH relativeFrom="page">
                <wp:posOffset>887299</wp:posOffset>
              </wp:positionH>
              <wp:positionV relativeFrom="page">
                <wp:posOffset>381590</wp:posOffset>
              </wp:positionV>
              <wp:extent cx="937260" cy="231775"/>
              <wp:effectExtent l="0" t="0" r="0" b="0"/>
              <wp:wrapNone/>
              <wp:docPr id="25" name="Textbox 25"/>
              <wp:cNvGraphicFramePr>
                <a:graphicFrameLocks/>
              </wp:cNvGraphicFramePr>
              <a:graphic>
                <a:graphicData uri="http://schemas.microsoft.com/office/word/2010/wordprocessingShape">
                  <wps:wsp>
                    <wps:cNvPr id="25" name="Textbox 25"/>
                    <wps:cNvSpPr txBox="1"/>
                    <wps:spPr>
                      <a:xfrm>
                        <a:off x="0" y="0"/>
                        <a:ext cx="937260" cy="231775"/>
                      </a:xfrm>
                      <a:prstGeom prst="rect">
                        <a:avLst/>
                      </a:prstGeom>
                    </wps:spPr>
                    <wps:txbx>
                      <w:txbxContent>
                        <w:p>
                          <w:pPr>
                            <w:spacing w:before="22"/>
                            <w:ind w:left="20" w:right="0" w:firstLine="0"/>
                            <w:jc w:val="left"/>
                            <w:rPr>
                              <w:b/>
                              <w:sz w:val="28"/>
                            </w:rPr>
                          </w:pPr>
                          <w:r>
                            <w:rPr>
                              <w:b/>
                              <w:color w:val="231F20"/>
                              <w:w w:val="85"/>
                              <w:sz w:val="28"/>
                            </w:rPr>
                            <w:t>APPENDIX</w:t>
                          </w:r>
                          <w:r>
                            <w:rPr>
                              <w:b/>
                              <w:color w:val="231F20"/>
                              <w:spacing w:val="21"/>
                              <w:sz w:val="28"/>
                            </w:rPr>
                            <w:t> </w:t>
                          </w:r>
                          <w:r>
                            <w:rPr>
                              <w:b/>
                              <w:color w:val="231F20"/>
                              <w:spacing w:val="-10"/>
                              <w:w w:val="95"/>
                              <w:sz w:val="28"/>
                            </w:rPr>
                            <w:t>I</w:t>
                          </w:r>
                        </w:p>
                      </w:txbxContent>
                    </wps:txbx>
                    <wps:bodyPr wrap="square" lIns="0" tIns="0" rIns="0" bIns="0" rtlCol="0">
                      <a:noAutofit/>
                    </wps:bodyPr>
                  </wps:wsp>
                </a:graphicData>
              </a:graphic>
            </wp:anchor>
          </w:drawing>
        </mc:Choice>
        <mc:Fallback>
          <w:pict>
            <v:shape style="position:absolute;margin-left:69.866096pt;margin-top:30.04649pt;width:73.8pt;height:18.25pt;mso-position-horizontal-relative:page;mso-position-vertical-relative:page;z-index:-16762368" type="#_x0000_t202" id="docshape16" filled="false" stroked="false">
              <v:textbox inset="0,0,0,0">
                <w:txbxContent>
                  <w:p>
                    <w:pPr>
                      <w:spacing w:before="22"/>
                      <w:ind w:left="20" w:right="0" w:firstLine="0"/>
                      <w:jc w:val="left"/>
                      <w:rPr>
                        <w:b/>
                        <w:sz w:val="28"/>
                      </w:rPr>
                    </w:pPr>
                    <w:r>
                      <w:rPr>
                        <w:b/>
                        <w:color w:val="231F20"/>
                        <w:w w:val="85"/>
                        <w:sz w:val="28"/>
                      </w:rPr>
                      <w:t>APPENDIX</w:t>
                    </w:r>
                    <w:r>
                      <w:rPr>
                        <w:b/>
                        <w:color w:val="231F20"/>
                        <w:spacing w:val="21"/>
                        <w:sz w:val="28"/>
                      </w:rPr>
                      <w:t> </w:t>
                    </w:r>
                    <w:r>
                      <w:rPr>
                        <w:b/>
                        <w:color w:val="231F20"/>
                        <w:spacing w:val="-10"/>
                        <w:w w:val="95"/>
                        <w:sz w:val="28"/>
                      </w:rPr>
                      <w:t>I</w:t>
                    </w:r>
                  </w:p>
                </w:txbxContent>
              </v:textbox>
              <w10:wrap type="none"/>
            </v:shape>
          </w:pict>
        </mc:Fallback>
      </mc:AlternateContent>
    </w:r>
    <w:r>
      <w:rPr/>
      <mc:AlternateContent>
        <mc:Choice Requires="wps">
          <w:drawing>
            <wp:anchor distT="0" distB="0" distL="0" distR="0" allowOverlap="1" layoutInCell="1" locked="0" behindDoc="1" simplePos="0" relativeHeight="486554624">
              <wp:simplePos x="0" y="0"/>
              <wp:positionH relativeFrom="page">
                <wp:posOffset>3620334</wp:posOffset>
              </wp:positionH>
              <wp:positionV relativeFrom="page">
                <wp:posOffset>381590</wp:posOffset>
              </wp:positionV>
              <wp:extent cx="3056255" cy="231775"/>
              <wp:effectExtent l="0" t="0" r="0" b="0"/>
              <wp:wrapNone/>
              <wp:docPr id="26" name="Textbox 26"/>
              <wp:cNvGraphicFramePr>
                <a:graphicFrameLocks/>
              </wp:cNvGraphicFramePr>
              <a:graphic>
                <a:graphicData uri="http://schemas.microsoft.com/office/word/2010/wordprocessingShape">
                  <wps:wsp>
                    <wps:cNvPr id="26" name="Textbox 26"/>
                    <wps:cNvSpPr txBox="1"/>
                    <wps:spPr>
                      <a:xfrm>
                        <a:off x="0" y="0"/>
                        <a:ext cx="3056255" cy="231775"/>
                      </a:xfrm>
                      <a:prstGeom prst="rect">
                        <a:avLst/>
                      </a:prstGeom>
                    </wps:spPr>
                    <wps:txbx>
                      <w:txbxContent>
                        <w:p>
                          <w:pPr>
                            <w:spacing w:before="22"/>
                            <w:ind w:left="20" w:right="0" w:firstLine="0"/>
                            <w:jc w:val="left"/>
                            <w:rPr>
                              <w:b/>
                              <w:sz w:val="28"/>
                            </w:rPr>
                          </w:pPr>
                          <w:r>
                            <w:rPr>
                              <w:b/>
                              <w:color w:val="231F20"/>
                              <w:w w:val="85"/>
                              <w:sz w:val="28"/>
                            </w:rPr>
                            <w:t>BUSINESS</w:t>
                          </w:r>
                          <w:r>
                            <w:rPr>
                              <w:b/>
                              <w:color w:val="231F20"/>
                              <w:spacing w:val="12"/>
                              <w:sz w:val="28"/>
                            </w:rPr>
                            <w:t> </w:t>
                          </w:r>
                          <w:r>
                            <w:rPr>
                              <w:b/>
                              <w:color w:val="231F20"/>
                              <w:w w:val="85"/>
                              <w:sz w:val="28"/>
                            </w:rPr>
                            <w:t>TO</w:t>
                          </w:r>
                          <w:r>
                            <w:rPr>
                              <w:b/>
                              <w:color w:val="231F20"/>
                              <w:spacing w:val="13"/>
                              <w:sz w:val="28"/>
                            </w:rPr>
                            <w:t> </w:t>
                          </w:r>
                          <w:r>
                            <w:rPr>
                              <w:b/>
                              <w:color w:val="231F20"/>
                              <w:w w:val="85"/>
                              <w:sz w:val="28"/>
                            </w:rPr>
                            <w:t>BE</w:t>
                          </w:r>
                          <w:r>
                            <w:rPr>
                              <w:b/>
                              <w:color w:val="231F20"/>
                              <w:spacing w:val="12"/>
                              <w:sz w:val="28"/>
                            </w:rPr>
                            <w:t> </w:t>
                          </w:r>
                          <w:r>
                            <w:rPr>
                              <w:b/>
                              <w:color w:val="231F20"/>
                              <w:w w:val="85"/>
                              <w:sz w:val="28"/>
                            </w:rPr>
                            <w:t>TRANSACTED</w:t>
                          </w:r>
                          <w:r>
                            <w:rPr>
                              <w:b/>
                              <w:color w:val="231F20"/>
                              <w:spacing w:val="13"/>
                              <w:sz w:val="28"/>
                            </w:rPr>
                            <w:t> </w:t>
                          </w:r>
                          <w:r>
                            <w:rPr>
                              <w:b/>
                              <w:color w:val="231F20"/>
                              <w:w w:val="85"/>
                              <w:sz w:val="28"/>
                            </w:rPr>
                            <w:t>AT</w:t>
                          </w:r>
                          <w:r>
                            <w:rPr>
                              <w:b/>
                              <w:color w:val="231F20"/>
                              <w:spacing w:val="13"/>
                              <w:sz w:val="28"/>
                            </w:rPr>
                            <w:t> </w:t>
                          </w:r>
                          <w:r>
                            <w:rPr>
                              <w:b/>
                              <w:color w:val="231F20"/>
                              <w:spacing w:val="-5"/>
                              <w:w w:val="85"/>
                              <w:sz w:val="28"/>
                            </w:rPr>
                            <w:t>THE</w:t>
                          </w:r>
                        </w:p>
                      </w:txbxContent>
                    </wps:txbx>
                    <wps:bodyPr wrap="square" lIns="0" tIns="0" rIns="0" bIns="0" rtlCol="0">
                      <a:noAutofit/>
                    </wps:bodyPr>
                  </wps:wsp>
                </a:graphicData>
              </a:graphic>
            </wp:anchor>
          </w:drawing>
        </mc:Choice>
        <mc:Fallback>
          <w:pict>
            <v:shape style="position:absolute;margin-left:285.065704pt;margin-top:30.04649pt;width:240.65pt;height:18.25pt;mso-position-horizontal-relative:page;mso-position-vertical-relative:page;z-index:-16761856" type="#_x0000_t202" id="docshape17" filled="false" stroked="false">
              <v:textbox inset="0,0,0,0">
                <w:txbxContent>
                  <w:p>
                    <w:pPr>
                      <w:spacing w:before="22"/>
                      <w:ind w:left="20" w:right="0" w:firstLine="0"/>
                      <w:jc w:val="left"/>
                      <w:rPr>
                        <w:b/>
                        <w:sz w:val="28"/>
                      </w:rPr>
                    </w:pPr>
                    <w:r>
                      <w:rPr>
                        <w:b/>
                        <w:color w:val="231F20"/>
                        <w:w w:val="85"/>
                        <w:sz w:val="28"/>
                      </w:rPr>
                      <w:t>BUSINESS</w:t>
                    </w:r>
                    <w:r>
                      <w:rPr>
                        <w:b/>
                        <w:color w:val="231F20"/>
                        <w:spacing w:val="12"/>
                        <w:sz w:val="28"/>
                      </w:rPr>
                      <w:t> </w:t>
                    </w:r>
                    <w:r>
                      <w:rPr>
                        <w:b/>
                        <w:color w:val="231F20"/>
                        <w:w w:val="85"/>
                        <w:sz w:val="28"/>
                      </w:rPr>
                      <w:t>TO</w:t>
                    </w:r>
                    <w:r>
                      <w:rPr>
                        <w:b/>
                        <w:color w:val="231F20"/>
                        <w:spacing w:val="13"/>
                        <w:sz w:val="28"/>
                      </w:rPr>
                      <w:t> </w:t>
                    </w:r>
                    <w:r>
                      <w:rPr>
                        <w:b/>
                        <w:color w:val="231F20"/>
                        <w:w w:val="85"/>
                        <w:sz w:val="28"/>
                      </w:rPr>
                      <w:t>BE</w:t>
                    </w:r>
                    <w:r>
                      <w:rPr>
                        <w:b/>
                        <w:color w:val="231F20"/>
                        <w:spacing w:val="12"/>
                        <w:sz w:val="28"/>
                      </w:rPr>
                      <w:t> </w:t>
                    </w:r>
                    <w:r>
                      <w:rPr>
                        <w:b/>
                        <w:color w:val="231F20"/>
                        <w:w w:val="85"/>
                        <w:sz w:val="28"/>
                      </w:rPr>
                      <w:t>TRANSACTED</w:t>
                    </w:r>
                    <w:r>
                      <w:rPr>
                        <w:b/>
                        <w:color w:val="231F20"/>
                        <w:spacing w:val="13"/>
                        <w:sz w:val="28"/>
                      </w:rPr>
                      <w:t> </w:t>
                    </w:r>
                    <w:r>
                      <w:rPr>
                        <w:b/>
                        <w:color w:val="231F20"/>
                        <w:w w:val="85"/>
                        <w:sz w:val="28"/>
                      </w:rPr>
                      <w:t>AT</w:t>
                    </w:r>
                    <w:r>
                      <w:rPr>
                        <w:b/>
                        <w:color w:val="231F20"/>
                        <w:spacing w:val="13"/>
                        <w:sz w:val="28"/>
                      </w:rPr>
                      <w:t> </w:t>
                    </w:r>
                    <w:r>
                      <w:rPr>
                        <w:b/>
                        <w:color w:val="231F20"/>
                        <w:spacing w:val="-5"/>
                        <w:w w:val="85"/>
                        <w:sz w:val="28"/>
                      </w:rPr>
                      <w:t>THE</w:t>
                    </w:r>
                  </w:p>
                </w:txbxContent>
              </v:textbox>
              <w10:wrap type="none"/>
            </v:shape>
          </w:pict>
        </mc:Fallback>
      </mc:AlternateContent>
    </w:r>
    <w:r>
      <w:rPr/>
      <mc:AlternateContent>
        <mc:Choice Requires="wps">
          <w:drawing>
            <wp:anchor distT="0" distB="0" distL="0" distR="0" allowOverlap="1" layoutInCell="1" locked="0" behindDoc="1" simplePos="0" relativeHeight="486555136">
              <wp:simplePos x="0" y="0"/>
              <wp:positionH relativeFrom="page">
                <wp:posOffset>887299</wp:posOffset>
              </wp:positionH>
              <wp:positionV relativeFrom="page">
                <wp:posOffset>565791</wp:posOffset>
              </wp:positionV>
              <wp:extent cx="5789295" cy="231775"/>
              <wp:effectExtent l="0" t="0" r="0" b="0"/>
              <wp:wrapNone/>
              <wp:docPr id="27" name="Textbox 27"/>
              <wp:cNvGraphicFramePr>
                <a:graphicFrameLocks/>
              </wp:cNvGraphicFramePr>
              <a:graphic>
                <a:graphicData uri="http://schemas.microsoft.com/office/word/2010/wordprocessingShape">
                  <wps:wsp>
                    <wps:cNvPr id="27" name="Textbox 27"/>
                    <wps:cNvSpPr txBox="1"/>
                    <wps:spPr>
                      <a:xfrm>
                        <a:off x="0" y="0"/>
                        <a:ext cx="5789295" cy="231775"/>
                      </a:xfrm>
                      <a:prstGeom prst="rect">
                        <a:avLst/>
                      </a:prstGeom>
                    </wps:spPr>
                    <wps:txbx>
                      <w:txbxContent>
                        <w:p>
                          <w:pPr>
                            <w:tabs>
                              <w:tab w:pos="2677" w:val="left" w:leader="none"/>
                            </w:tabs>
                            <w:spacing w:before="22"/>
                            <w:ind w:left="20" w:right="0" w:firstLine="0"/>
                            <w:jc w:val="left"/>
                            <w:rPr>
                              <w:b/>
                              <w:sz w:val="28"/>
                            </w:rPr>
                          </w:pPr>
                          <w:r>
                            <w:rPr>
                              <w:b/>
                              <w:color w:val="231F20"/>
                              <w:sz w:val="28"/>
                              <w:u w:val="single" w:color="231F20"/>
                            </w:rPr>
                            <w:tab/>
                          </w:r>
                          <w:r>
                            <w:rPr>
                              <w:b/>
                              <w:color w:val="231F20"/>
                              <w:w w:val="85"/>
                              <w:sz w:val="28"/>
                              <w:u w:val="single" w:color="231F20"/>
                            </w:rPr>
                            <w:t>2025</w:t>
                          </w:r>
                          <w:r>
                            <w:rPr>
                              <w:b/>
                              <w:color w:val="231F20"/>
                              <w:spacing w:val="20"/>
                              <w:sz w:val="28"/>
                              <w:u w:val="single" w:color="231F20"/>
                            </w:rPr>
                            <w:t> </w:t>
                          </w:r>
                          <w:r>
                            <w:rPr>
                              <w:b/>
                              <w:color w:val="231F20"/>
                              <w:w w:val="85"/>
                              <w:sz w:val="28"/>
                              <w:u w:val="single" w:color="231F20"/>
                            </w:rPr>
                            <w:t>SECOND</w:t>
                          </w:r>
                          <w:r>
                            <w:rPr>
                              <w:b/>
                              <w:color w:val="231F20"/>
                              <w:spacing w:val="21"/>
                              <w:sz w:val="28"/>
                              <w:u w:val="single" w:color="231F20"/>
                            </w:rPr>
                            <w:t> </w:t>
                          </w:r>
                          <w:r>
                            <w:rPr>
                              <w:b/>
                              <w:color w:val="231F20"/>
                              <w:w w:val="85"/>
                              <w:sz w:val="28"/>
                              <w:u w:val="single" w:color="231F20"/>
                            </w:rPr>
                            <w:t>EXTRAORDINARY</w:t>
                          </w:r>
                          <w:r>
                            <w:rPr>
                              <w:b/>
                              <w:color w:val="231F20"/>
                              <w:spacing w:val="21"/>
                              <w:sz w:val="28"/>
                              <w:u w:val="single" w:color="231F20"/>
                            </w:rPr>
                            <w:t> </w:t>
                          </w:r>
                          <w:r>
                            <w:rPr>
                              <w:b/>
                              <w:color w:val="231F20"/>
                              <w:w w:val="85"/>
                              <w:sz w:val="28"/>
                              <w:u w:val="single" w:color="231F20"/>
                            </w:rPr>
                            <w:t>GENERAL</w:t>
                          </w:r>
                          <w:r>
                            <w:rPr>
                              <w:b/>
                              <w:color w:val="231F20"/>
                              <w:spacing w:val="21"/>
                              <w:sz w:val="28"/>
                              <w:u w:val="single" w:color="231F20"/>
                            </w:rPr>
                            <w:t> </w:t>
                          </w:r>
                          <w:r>
                            <w:rPr>
                              <w:b/>
                              <w:color w:val="231F20"/>
                              <w:spacing w:val="-2"/>
                              <w:w w:val="85"/>
                              <w:sz w:val="28"/>
                              <w:u w:val="single" w:color="231F20"/>
                            </w:rPr>
                            <w:t>MEETING</w:t>
                          </w:r>
                        </w:p>
                      </w:txbxContent>
                    </wps:txbx>
                    <wps:bodyPr wrap="square" lIns="0" tIns="0" rIns="0" bIns="0" rtlCol="0">
                      <a:noAutofit/>
                    </wps:bodyPr>
                  </wps:wsp>
                </a:graphicData>
              </a:graphic>
            </wp:anchor>
          </w:drawing>
        </mc:Choice>
        <mc:Fallback>
          <w:pict>
            <v:shape style="position:absolute;margin-left:69.866096pt;margin-top:44.550488pt;width:455.85pt;height:18.25pt;mso-position-horizontal-relative:page;mso-position-vertical-relative:page;z-index:-16761344" type="#_x0000_t202" id="docshape18" filled="false" stroked="false">
              <v:textbox inset="0,0,0,0">
                <w:txbxContent>
                  <w:p>
                    <w:pPr>
                      <w:tabs>
                        <w:tab w:pos="2677" w:val="left" w:leader="none"/>
                      </w:tabs>
                      <w:spacing w:before="22"/>
                      <w:ind w:left="20" w:right="0" w:firstLine="0"/>
                      <w:jc w:val="left"/>
                      <w:rPr>
                        <w:b/>
                        <w:sz w:val="28"/>
                      </w:rPr>
                    </w:pPr>
                    <w:r>
                      <w:rPr>
                        <w:b/>
                        <w:color w:val="231F20"/>
                        <w:sz w:val="28"/>
                        <w:u w:val="single" w:color="231F20"/>
                      </w:rPr>
                      <w:tab/>
                    </w:r>
                    <w:r>
                      <w:rPr>
                        <w:b/>
                        <w:color w:val="231F20"/>
                        <w:w w:val="85"/>
                        <w:sz w:val="28"/>
                        <w:u w:val="single" w:color="231F20"/>
                      </w:rPr>
                      <w:t>2025</w:t>
                    </w:r>
                    <w:r>
                      <w:rPr>
                        <w:b/>
                        <w:color w:val="231F20"/>
                        <w:spacing w:val="20"/>
                        <w:sz w:val="28"/>
                        <w:u w:val="single" w:color="231F20"/>
                      </w:rPr>
                      <w:t> </w:t>
                    </w:r>
                    <w:r>
                      <w:rPr>
                        <w:b/>
                        <w:color w:val="231F20"/>
                        <w:w w:val="85"/>
                        <w:sz w:val="28"/>
                        <w:u w:val="single" w:color="231F20"/>
                      </w:rPr>
                      <w:t>SECOND</w:t>
                    </w:r>
                    <w:r>
                      <w:rPr>
                        <w:b/>
                        <w:color w:val="231F20"/>
                        <w:spacing w:val="21"/>
                        <w:sz w:val="28"/>
                        <w:u w:val="single" w:color="231F20"/>
                      </w:rPr>
                      <w:t> </w:t>
                    </w:r>
                    <w:r>
                      <w:rPr>
                        <w:b/>
                        <w:color w:val="231F20"/>
                        <w:w w:val="85"/>
                        <w:sz w:val="28"/>
                        <w:u w:val="single" w:color="231F20"/>
                      </w:rPr>
                      <w:t>EXTRAORDINARY</w:t>
                    </w:r>
                    <w:r>
                      <w:rPr>
                        <w:b/>
                        <w:color w:val="231F20"/>
                        <w:spacing w:val="21"/>
                        <w:sz w:val="28"/>
                        <w:u w:val="single" w:color="231F20"/>
                      </w:rPr>
                      <w:t> </w:t>
                    </w:r>
                    <w:r>
                      <w:rPr>
                        <w:b/>
                        <w:color w:val="231F20"/>
                        <w:w w:val="85"/>
                        <w:sz w:val="28"/>
                        <w:u w:val="single" w:color="231F20"/>
                      </w:rPr>
                      <w:t>GENERAL</w:t>
                    </w:r>
                    <w:r>
                      <w:rPr>
                        <w:b/>
                        <w:color w:val="231F20"/>
                        <w:spacing w:val="21"/>
                        <w:sz w:val="28"/>
                        <w:u w:val="single" w:color="231F20"/>
                      </w:rPr>
                      <w:t> </w:t>
                    </w:r>
                    <w:r>
                      <w:rPr>
                        <w:b/>
                        <w:color w:val="231F20"/>
                        <w:spacing w:val="-2"/>
                        <w:w w:val="85"/>
                        <w:sz w:val="28"/>
                        <w:u w:val="single" w:color="231F20"/>
                      </w:rPr>
                      <w:t>MEETING</w:t>
                    </w:r>
                  </w:p>
                </w:txbxContent>
              </v:textbox>
              <w10:wrap type="none"/>
            </v:shape>
          </w:pict>
        </mc:Fallback>
      </mc:AlternateContent>
    </w:r>
  </w:p>
</w:hdr>
</file>

<file path=word/header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6556160">
              <wp:simplePos x="0" y="0"/>
              <wp:positionH relativeFrom="page">
                <wp:posOffset>899999</wp:posOffset>
              </wp:positionH>
              <wp:positionV relativeFrom="page">
                <wp:posOffset>363176</wp:posOffset>
              </wp:positionV>
              <wp:extent cx="5760085" cy="1270"/>
              <wp:effectExtent l="0" t="0" r="0" b="0"/>
              <wp:wrapNone/>
              <wp:docPr id="29" name="Graphic 29"/>
              <wp:cNvGraphicFramePr>
                <a:graphicFrameLocks/>
              </wp:cNvGraphicFramePr>
              <a:graphic>
                <a:graphicData uri="http://schemas.microsoft.com/office/word/2010/wordprocessingShape">
                  <wps:wsp>
                    <wps:cNvPr id="29" name="Graphic 29"/>
                    <wps:cNvSpPr/>
                    <wps:spPr>
                      <a:xfrm>
                        <a:off x="0" y="0"/>
                        <a:ext cx="5760085" cy="1270"/>
                      </a:xfrm>
                      <a:custGeom>
                        <a:avLst/>
                        <a:gdLst/>
                        <a:ahLst/>
                        <a:cxnLst/>
                        <a:rect l="l" t="t" r="r" b="b"/>
                        <a:pathLst>
                          <a:path w="5760085" h="0">
                            <a:moveTo>
                              <a:pt x="0" y="0"/>
                            </a:moveTo>
                            <a:lnTo>
                              <a:pt x="5759996"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6760320" from="70.866096pt,28.596588pt" to="524.409096pt,28.596588pt" stroked="true" strokeweight=".5pt" strokecolor="#231f20">
              <v:stroke dashstyle="solid"/>
              <w10:wrap type="none"/>
            </v:line>
          </w:pict>
        </mc:Fallback>
      </mc:AlternateContent>
    </w:r>
    <w:r>
      <w:rPr/>
      <mc:AlternateContent>
        <mc:Choice Requires="wps">
          <w:drawing>
            <wp:anchor distT="0" distB="0" distL="0" distR="0" allowOverlap="1" layoutInCell="1" locked="0" behindDoc="1" simplePos="0" relativeHeight="486556672">
              <wp:simplePos x="0" y="0"/>
              <wp:positionH relativeFrom="page">
                <wp:posOffset>899999</wp:posOffset>
              </wp:positionH>
              <wp:positionV relativeFrom="page">
                <wp:posOffset>615177</wp:posOffset>
              </wp:positionV>
              <wp:extent cx="5760085" cy="1270"/>
              <wp:effectExtent l="0" t="0" r="0" b="0"/>
              <wp:wrapNone/>
              <wp:docPr id="30" name="Graphic 30"/>
              <wp:cNvGraphicFramePr>
                <a:graphicFrameLocks/>
              </wp:cNvGraphicFramePr>
              <a:graphic>
                <a:graphicData uri="http://schemas.microsoft.com/office/word/2010/wordprocessingShape">
                  <wps:wsp>
                    <wps:cNvPr id="30" name="Graphic 30"/>
                    <wps:cNvSpPr/>
                    <wps:spPr>
                      <a:xfrm>
                        <a:off x="0" y="0"/>
                        <a:ext cx="5760085" cy="1270"/>
                      </a:xfrm>
                      <a:custGeom>
                        <a:avLst/>
                        <a:gdLst/>
                        <a:ahLst/>
                        <a:cxnLst/>
                        <a:rect l="l" t="t" r="r" b="b"/>
                        <a:pathLst>
                          <a:path w="5760085" h="0">
                            <a:moveTo>
                              <a:pt x="0" y="0"/>
                            </a:moveTo>
                            <a:lnTo>
                              <a:pt x="5759996"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6759808" from="70.866096pt,48.43919pt" to="524.409096pt,48.43919pt" stroked="true" strokeweight=".5pt" strokecolor="#231f20">
              <v:stroke dashstyle="solid"/>
              <w10:wrap type="none"/>
            </v:line>
          </w:pict>
        </mc:Fallback>
      </mc:AlternateContent>
    </w:r>
    <w:r>
      <w:rPr/>
      <mc:AlternateContent>
        <mc:Choice Requires="wps">
          <w:drawing>
            <wp:anchor distT="0" distB="0" distL="0" distR="0" allowOverlap="1" layoutInCell="1" locked="0" behindDoc="1" simplePos="0" relativeHeight="486557184">
              <wp:simplePos x="0" y="0"/>
              <wp:positionH relativeFrom="page">
                <wp:posOffset>1124684</wp:posOffset>
              </wp:positionH>
              <wp:positionV relativeFrom="page">
                <wp:posOffset>374665</wp:posOffset>
              </wp:positionV>
              <wp:extent cx="5314950" cy="231775"/>
              <wp:effectExtent l="0" t="0" r="0" b="0"/>
              <wp:wrapNone/>
              <wp:docPr id="31" name="Textbox 31"/>
              <wp:cNvGraphicFramePr>
                <a:graphicFrameLocks/>
              </wp:cNvGraphicFramePr>
              <a:graphic>
                <a:graphicData uri="http://schemas.microsoft.com/office/word/2010/wordprocessingShape">
                  <wps:wsp>
                    <wps:cNvPr id="31" name="Textbox 31"/>
                    <wps:cNvSpPr txBox="1"/>
                    <wps:spPr>
                      <a:xfrm>
                        <a:off x="0" y="0"/>
                        <a:ext cx="5314950" cy="231775"/>
                      </a:xfrm>
                      <a:prstGeom prst="rect">
                        <a:avLst/>
                      </a:prstGeom>
                    </wps:spPr>
                    <wps:txbx>
                      <w:txbxContent>
                        <w:p>
                          <w:pPr>
                            <w:spacing w:before="22"/>
                            <w:ind w:left="20" w:right="0" w:firstLine="0"/>
                            <w:jc w:val="left"/>
                            <w:rPr>
                              <w:b/>
                              <w:sz w:val="28"/>
                            </w:rPr>
                          </w:pPr>
                          <w:r>
                            <w:rPr>
                              <w:b/>
                              <w:color w:val="231F20"/>
                              <w:w w:val="90"/>
                              <w:sz w:val="28"/>
                            </w:rPr>
                            <w:t>NOTICE</w:t>
                          </w:r>
                          <w:r>
                            <w:rPr>
                              <w:b/>
                              <w:color w:val="231F20"/>
                              <w:spacing w:val="26"/>
                              <w:sz w:val="28"/>
                            </w:rPr>
                            <w:t> </w:t>
                          </w:r>
                          <w:r>
                            <w:rPr>
                              <w:b/>
                              <w:color w:val="231F20"/>
                              <w:w w:val="90"/>
                              <w:sz w:val="28"/>
                            </w:rPr>
                            <w:t>OF</w:t>
                          </w:r>
                          <w:r>
                            <w:rPr>
                              <w:b/>
                              <w:color w:val="231F20"/>
                              <w:spacing w:val="27"/>
                              <w:sz w:val="28"/>
                            </w:rPr>
                            <w:t> </w:t>
                          </w:r>
                          <w:r>
                            <w:rPr>
                              <w:b/>
                              <w:color w:val="231F20"/>
                              <w:w w:val="90"/>
                              <w:sz w:val="28"/>
                            </w:rPr>
                            <w:t>2025</w:t>
                          </w:r>
                          <w:r>
                            <w:rPr>
                              <w:b/>
                              <w:color w:val="231F20"/>
                              <w:spacing w:val="27"/>
                              <w:sz w:val="28"/>
                            </w:rPr>
                            <w:t> </w:t>
                          </w:r>
                          <w:r>
                            <w:rPr>
                              <w:b/>
                              <w:color w:val="231F20"/>
                              <w:w w:val="90"/>
                              <w:sz w:val="28"/>
                            </w:rPr>
                            <w:t>SECOND</w:t>
                          </w:r>
                          <w:r>
                            <w:rPr>
                              <w:b/>
                              <w:color w:val="231F20"/>
                              <w:spacing w:val="26"/>
                              <w:sz w:val="28"/>
                            </w:rPr>
                            <w:t> </w:t>
                          </w:r>
                          <w:r>
                            <w:rPr>
                              <w:b/>
                              <w:color w:val="231F20"/>
                              <w:w w:val="90"/>
                              <w:sz w:val="28"/>
                            </w:rPr>
                            <w:t>EXTRAORDINARY</w:t>
                          </w:r>
                          <w:r>
                            <w:rPr>
                              <w:b/>
                              <w:color w:val="231F20"/>
                              <w:spacing w:val="27"/>
                              <w:sz w:val="28"/>
                            </w:rPr>
                            <w:t> </w:t>
                          </w:r>
                          <w:r>
                            <w:rPr>
                              <w:b/>
                              <w:color w:val="231F20"/>
                              <w:w w:val="90"/>
                              <w:sz w:val="28"/>
                            </w:rPr>
                            <w:t>GENERAL</w:t>
                          </w:r>
                          <w:r>
                            <w:rPr>
                              <w:b/>
                              <w:color w:val="231F20"/>
                              <w:spacing w:val="27"/>
                              <w:sz w:val="28"/>
                            </w:rPr>
                            <w:t> </w:t>
                          </w:r>
                          <w:r>
                            <w:rPr>
                              <w:b/>
                              <w:color w:val="231F20"/>
                              <w:spacing w:val="-2"/>
                              <w:w w:val="90"/>
                              <w:sz w:val="28"/>
                            </w:rPr>
                            <w:t>MEETING</w:t>
                          </w:r>
                        </w:p>
                      </w:txbxContent>
                    </wps:txbx>
                    <wps:bodyPr wrap="square" lIns="0" tIns="0" rIns="0" bIns="0" rtlCol="0">
                      <a:noAutofit/>
                    </wps:bodyPr>
                  </wps:wsp>
                </a:graphicData>
              </a:graphic>
            </wp:anchor>
          </w:drawing>
        </mc:Choice>
        <mc:Fallback>
          <w:pict>
            <v:shape style="position:absolute;margin-left:88.5578pt;margin-top:29.501188pt;width:418.5pt;height:18.25pt;mso-position-horizontal-relative:page;mso-position-vertical-relative:page;z-index:-16759296" type="#_x0000_t202" id="docshape20" filled="false" stroked="false">
              <v:textbox inset="0,0,0,0">
                <w:txbxContent>
                  <w:p>
                    <w:pPr>
                      <w:spacing w:before="22"/>
                      <w:ind w:left="20" w:right="0" w:firstLine="0"/>
                      <w:jc w:val="left"/>
                      <w:rPr>
                        <w:b/>
                        <w:sz w:val="28"/>
                      </w:rPr>
                    </w:pPr>
                    <w:r>
                      <w:rPr>
                        <w:b/>
                        <w:color w:val="231F20"/>
                        <w:w w:val="90"/>
                        <w:sz w:val="28"/>
                      </w:rPr>
                      <w:t>NOTICE</w:t>
                    </w:r>
                    <w:r>
                      <w:rPr>
                        <w:b/>
                        <w:color w:val="231F20"/>
                        <w:spacing w:val="26"/>
                        <w:sz w:val="28"/>
                      </w:rPr>
                      <w:t> </w:t>
                    </w:r>
                    <w:r>
                      <w:rPr>
                        <w:b/>
                        <w:color w:val="231F20"/>
                        <w:w w:val="90"/>
                        <w:sz w:val="28"/>
                      </w:rPr>
                      <w:t>OF</w:t>
                    </w:r>
                    <w:r>
                      <w:rPr>
                        <w:b/>
                        <w:color w:val="231F20"/>
                        <w:spacing w:val="27"/>
                        <w:sz w:val="28"/>
                      </w:rPr>
                      <w:t> </w:t>
                    </w:r>
                    <w:r>
                      <w:rPr>
                        <w:b/>
                        <w:color w:val="231F20"/>
                        <w:w w:val="90"/>
                        <w:sz w:val="28"/>
                      </w:rPr>
                      <w:t>2025</w:t>
                    </w:r>
                    <w:r>
                      <w:rPr>
                        <w:b/>
                        <w:color w:val="231F20"/>
                        <w:spacing w:val="27"/>
                        <w:sz w:val="28"/>
                      </w:rPr>
                      <w:t> </w:t>
                    </w:r>
                    <w:r>
                      <w:rPr>
                        <w:b/>
                        <w:color w:val="231F20"/>
                        <w:w w:val="90"/>
                        <w:sz w:val="28"/>
                      </w:rPr>
                      <w:t>SECOND</w:t>
                    </w:r>
                    <w:r>
                      <w:rPr>
                        <w:b/>
                        <w:color w:val="231F20"/>
                        <w:spacing w:val="26"/>
                        <w:sz w:val="28"/>
                      </w:rPr>
                      <w:t> </w:t>
                    </w:r>
                    <w:r>
                      <w:rPr>
                        <w:b/>
                        <w:color w:val="231F20"/>
                        <w:w w:val="90"/>
                        <w:sz w:val="28"/>
                      </w:rPr>
                      <w:t>EXTRAORDINARY</w:t>
                    </w:r>
                    <w:r>
                      <w:rPr>
                        <w:b/>
                        <w:color w:val="231F20"/>
                        <w:spacing w:val="27"/>
                        <w:sz w:val="28"/>
                      </w:rPr>
                      <w:t> </w:t>
                    </w:r>
                    <w:r>
                      <w:rPr>
                        <w:b/>
                        <w:color w:val="231F20"/>
                        <w:w w:val="90"/>
                        <w:sz w:val="28"/>
                      </w:rPr>
                      <w:t>GENERAL</w:t>
                    </w:r>
                    <w:r>
                      <w:rPr>
                        <w:b/>
                        <w:color w:val="231F20"/>
                        <w:spacing w:val="27"/>
                        <w:sz w:val="28"/>
                      </w:rPr>
                      <w:t> </w:t>
                    </w:r>
                    <w:r>
                      <w:rPr>
                        <w:b/>
                        <w:color w:val="231F20"/>
                        <w:spacing w:val="-2"/>
                        <w:w w:val="90"/>
                        <w:sz w:val="28"/>
                      </w:rPr>
                      <w:t>MEETING</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0">
    <w:multiLevelType w:val="hybridMultilevel"/>
    <w:lvl w:ilvl="0">
      <w:start w:val="1"/>
      <w:numFmt w:val="decimal"/>
      <w:lvlText w:val="%1."/>
      <w:lvlJc w:val="left"/>
      <w:pPr>
        <w:ind w:left="709" w:hanging="567"/>
        <w:jc w:val="left"/>
      </w:pPr>
      <w:rPr>
        <w:rFonts w:hint="default" w:ascii="Times New Roman" w:hAnsi="Times New Roman" w:eastAsia="Times New Roman" w:cs="Times New Roman"/>
        <w:b w:val="0"/>
        <w:bCs w:val="0"/>
        <w:i w:val="0"/>
        <w:iCs w:val="0"/>
        <w:color w:val="231F20"/>
        <w:spacing w:val="0"/>
        <w:w w:val="100"/>
        <w:sz w:val="16"/>
        <w:szCs w:val="16"/>
        <w:lang w:val="en-US" w:eastAsia="en-US" w:bidi="ar-SA"/>
      </w:rPr>
    </w:lvl>
    <w:lvl w:ilvl="1">
      <w:start w:val="0"/>
      <w:numFmt w:val="bullet"/>
      <w:lvlText w:val="•"/>
      <w:lvlJc w:val="left"/>
      <w:pPr>
        <w:ind w:left="1565" w:hanging="567"/>
      </w:pPr>
      <w:rPr>
        <w:rFonts w:hint="default"/>
        <w:lang w:val="en-US" w:eastAsia="en-US" w:bidi="ar-SA"/>
      </w:rPr>
    </w:lvl>
    <w:lvl w:ilvl="2">
      <w:start w:val="0"/>
      <w:numFmt w:val="bullet"/>
      <w:lvlText w:val="•"/>
      <w:lvlJc w:val="left"/>
      <w:pPr>
        <w:ind w:left="2431" w:hanging="567"/>
      </w:pPr>
      <w:rPr>
        <w:rFonts w:hint="default"/>
        <w:lang w:val="en-US" w:eastAsia="en-US" w:bidi="ar-SA"/>
      </w:rPr>
    </w:lvl>
    <w:lvl w:ilvl="3">
      <w:start w:val="0"/>
      <w:numFmt w:val="bullet"/>
      <w:lvlText w:val="•"/>
      <w:lvlJc w:val="left"/>
      <w:pPr>
        <w:ind w:left="3296" w:hanging="567"/>
      </w:pPr>
      <w:rPr>
        <w:rFonts w:hint="default"/>
        <w:lang w:val="en-US" w:eastAsia="en-US" w:bidi="ar-SA"/>
      </w:rPr>
    </w:lvl>
    <w:lvl w:ilvl="4">
      <w:start w:val="0"/>
      <w:numFmt w:val="bullet"/>
      <w:lvlText w:val="•"/>
      <w:lvlJc w:val="left"/>
      <w:pPr>
        <w:ind w:left="4162" w:hanging="567"/>
      </w:pPr>
      <w:rPr>
        <w:rFonts w:hint="default"/>
        <w:lang w:val="en-US" w:eastAsia="en-US" w:bidi="ar-SA"/>
      </w:rPr>
    </w:lvl>
    <w:lvl w:ilvl="5">
      <w:start w:val="0"/>
      <w:numFmt w:val="bullet"/>
      <w:lvlText w:val="•"/>
      <w:lvlJc w:val="left"/>
      <w:pPr>
        <w:ind w:left="5027" w:hanging="567"/>
      </w:pPr>
      <w:rPr>
        <w:rFonts w:hint="default"/>
        <w:lang w:val="en-US" w:eastAsia="en-US" w:bidi="ar-SA"/>
      </w:rPr>
    </w:lvl>
    <w:lvl w:ilvl="6">
      <w:start w:val="0"/>
      <w:numFmt w:val="bullet"/>
      <w:lvlText w:val="•"/>
      <w:lvlJc w:val="left"/>
      <w:pPr>
        <w:ind w:left="5893" w:hanging="567"/>
      </w:pPr>
      <w:rPr>
        <w:rFonts w:hint="default"/>
        <w:lang w:val="en-US" w:eastAsia="en-US" w:bidi="ar-SA"/>
      </w:rPr>
    </w:lvl>
    <w:lvl w:ilvl="7">
      <w:start w:val="0"/>
      <w:numFmt w:val="bullet"/>
      <w:lvlText w:val="•"/>
      <w:lvlJc w:val="left"/>
      <w:pPr>
        <w:ind w:left="6758" w:hanging="567"/>
      </w:pPr>
      <w:rPr>
        <w:rFonts w:hint="default"/>
        <w:lang w:val="en-US" w:eastAsia="en-US" w:bidi="ar-SA"/>
      </w:rPr>
    </w:lvl>
    <w:lvl w:ilvl="8">
      <w:start w:val="0"/>
      <w:numFmt w:val="bullet"/>
      <w:lvlText w:val="•"/>
      <w:lvlJc w:val="left"/>
      <w:pPr>
        <w:ind w:left="7624" w:hanging="567"/>
      </w:pPr>
      <w:rPr>
        <w:rFonts w:hint="default"/>
        <w:lang w:val="en-US" w:eastAsia="en-US" w:bidi="ar-SA"/>
      </w:rPr>
    </w:lvl>
  </w:abstractNum>
  <w:abstractNum w:abstractNumId="9">
    <w:multiLevelType w:val="hybridMultilevel"/>
    <w:lvl w:ilvl="0">
      <w:start w:val="1"/>
      <w:numFmt w:val="upperRoman"/>
      <w:lvlText w:val="%1."/>
      <w:lvlJc w:val="left"/>
      <w:pPr>
        <w:ind w:left="1276" w:hanging="567"/>
        <w:jc w:val="left"/>
      </w:pPr>
      <w:rPr>
        <w:rFonts w:hint="default" w:ascii="Times New Roman" w:hAnsi="Times New Roman" w:eastAsia="Times New Roman" w:cs="Times New Roman"/>
        <w:b/>
        <w:bCs/>
        <w:i w:val="0"/>
        <w:iCs w:val="0"/>
        <w:color w:val="231F20"/>
        <w:spacing w:val="0"/>
        <w:w w:val="99"/>
        <w:sz w:val="20"/>
        <w:szCs w:val="20"/>
        <w:lang w:val="en-US" w:eastAsia="en-US" w:bidi="ar-SA"/>
      </w:rPr>
    </w:lvl>
    <w:lvl w:ilvl="1">
      <w:start w:val="1"/>
      <w:numFmt w:val="decimal"/>
      <w:lvlText w:val="%2."/>
      <w:lvlJc w:val="left"/>
      <w:pPr>
        <w:ind w:left="1276" w:hanging="567"/>
        <w:jc w:val="left"/>
      </w:pPr>
      <w:rPr>
        <w:rFonts w:hint="default"/>
        <w:spacing w:val="0"/>
        <w:w w:val="100"/>
        <w:lang w:val="en-US" w:eastAsia="en-US" w:bidi="ar-SA"/>
      </w:rPr>
    </w:lvl>
    <w:lvl w:ilvl="2">
      <w:start w:val="1"/>
      <w:numFmt w:val="decimal"/>
      <w:lvlText w:val="(%3)"/>
      <w:lvlJc w:val="left"/>
      <w:pPr>
        <w:ind w:left="2409" w:hanging="567"/>
        <w:jc w:val="left"/>
      </w:pPr>
      <w:rPr>
        <w:rFonts w:hint="default" w:ascii="Times New Roman" w:hAnsi="Times New Roman" w:eastAsia="Times New Roman" w:cs="Times New Roman"/>
        <w:b w:val="0"/>
        <w:bCs w:val="0"/>
        <w:i w:val="0"/>
        <w:iCs w:val="0"/>
        <w:color w:val="231F20"/>
        <w:spacing w:val="0"/>
        <w:w w:val="99"/>
        <w:sz w:val="20"/>
        <w:szCs w:val="20"/>
        <w:lang w:val="en-US" w:eastAsia="en-US" w:bidi="ar-SA"/>
      </w:rPr>
    </w:lvl>
    <w:lvl w:ilvl="3">
      <w:start w:val="0"/>
      <w:numFmt w:val="bullet"/>
      <w:lvlText w:val="•"/>
      <w:lvlJc w:val="left"/>
      <w:pPr>
        <w:ind w:left="3269" w:hanging="567"/>
      </w:pPr>
      <w:rPr>
        <w:rFonts w:hint="default"/>
        <w:lang w:val="en-US" w:eastAsia="en-US" w:bidi="ar-SA"/>
      </w:rPr>
    </w:lvl>
    <w:lvl w:ilvl="4">
      <w:start w:val="0"/>
      <w:numFmt w:val="bullet"/>
      <w:lvlText w:val="•"/>
      <w:lvlJc w:val="left"/>
      <w:pPr>
        <w:ind w:left="4138" w:hanging="567"/>
      </w:pPr>
      <w:rPr>
        <w:rFonts w:hint="default"/>
        <w:lang w:val="en-US" w:eastAsia="en-US" w:bidi="ar-SA"/>
      </w:rPr>
    </w:lvl>
    <w:lvl w:ilvl="5">
      <w:start w:val="0"/>
      <w:numFmt w:val="bullet"/>
      <w:lvlText w:val="•"/>
      <w:lvlJc w:val="left"/>
      <w:pPr>
        <w:ind w:left="5008" w:hanging="567"/>
      </w:pPr>
      <w:rPr>
        <w:rFonts w:hint="default"/>
        <w:lang w:val="en-US" w:eastAsia="en-US" w:bidi="ar-SA"/>
      </w:rPr>
    </w:lvl>
    <w:lvl w:ilvl="6">
      <w:start w:val="0"/>
      <w:numFmt w:val="bullet"/>
      <w:lvlText w:val="•"/>
      <w:lvlJc w:val="left"/>
      <w:pPr>
        <w:ind w:left="5877" w:hanging="567"/>
      </w:pPr>
      <w:rPr>
        <w:rFonts w:hint="default"/>
        <w:lang w:val="en-US" w:eastAsia="en-US" w:bidi="ar-SA"/>
      </w:rPr>
    </w:lvl>
    <w:lvl w:ilvl="7">
      <w:start w:val="0"/>
      <w:numFmt w:val="bullet"/>
      <w:lvlText w:val="•"/>
      <w:lvlJc w:val="left"/>
      <w:pPr>
        <w:ind w:left="6747" w:hanging="567"/>
      </w:pPr>
      <w:rPr>
        <w:rFonts w:hint="default"/>
        <w:lang w:val="en-US" w:eastAsia="en-US" w:bidi="ar-SA"/>
      </w:rPr>
    </w:lvl>
    <w:lvl w:ilvl="8">
      <w:start w:val="0"/>
      <w:numFmt w:val="bullet"/>
      <w:lvlText w:val="•"/>
      <w:lvlJc w:val="left"/>
      <w:pPr>
        <w:ind w:left="7616" w:hanging="567"/>
      </w:pPr>
      <w:rPr>
        <w:rFonts w:hint="default"/>
        <w:lang w:val="en-US" w:eastAsia="en-US" w:bidi="ar-SA"/>
      </w:rPr>
    </w:lvl>
  </w:abstractNum>
  <w:abstractNum w:abstractNumId="8">
    <w:multiLevelType w:val="hybridMultilevel"/>
    <w:lvl w:ilvl="0">
      <w:start w:val="1"/>
      <w:numFmt w:val="decimal"/>
      <w:lvlText w:val="%1."/>
      <w:lvlJc w:val="left"/>
      <w:pPr>
        <w:ind w:left="1843" w:hanging="567"/>
        <w:jc w:val="left"/>
      </w:pPr>
      <w:rPr>
        <w:rFonts w:hint="default" w:ascii="Times New Roman" w:hAnsi="Times New Roman" w:eastAsia="Times New Roman" w:cs="Times New Roman"/>
        <w:b w:val="0"/>
        <w:bCs w:val="0"/>
        <w:i w:val="0"/>
        <w:iCs w:val="0"/>
        <w:color w:val="231F20"/>
        <w:spacing w:val="0"/>
        <w:w w:val="100"/>
        <w:sz w:val="20"/>
        <w:szCs w:val="20"/>
        <w:lang w:val="en-US" w:eastAsia="en-US" w:bidi="ar-SA"/>
      </w:rPr>
    </w:lvl>
    <w:lvl w:ilvl="1">
      <w:start w:val="0"/>
      <w:numFmt w:val="bullet"/>
      <w:lvlText w:val="•"/>
      <w:lvlJc w:val="left"/>
      <w:pPr>
        <w:ind w:left="2591" w:hanging="567"/>
      </w:pPr>
      <w:rPr>
        <w:rFonts w:hint="default"/>
        <w:lang w:val="en-US" w:eastAsia="en-US" w:bidi="ar-SA"/>
      </w:rPr>
    </w:lvl>
    <w:lvl w:ilvl="2">
      <w:start w:val="0"/>
      <w:numFmt w:val="bullet"/>
      <w:lvlText w:val="•"/>
      <w:lvlJc w:val="left"/>
      <w:pPr>
        <w:ind w:left="3343" w:hanging="567"/>
      </w:pPr>
      <w:rPr>
        <w:rFonts w:hint="default"/>
        <w:lang w:val="en-US" w:eastAsia="en-US" w:bidi="ar-SA"/>
      </w:rPr>
    </w:lvl>
    <w:lvl w:ilvl="3">
      <w:start w:val="0"/>
      <w:numFmt w:val="bullet"/>
      <w:lvlText w:val="•"/>
      <w:lvlJc w:val="left"/>
      <w:pPr>
        <w:ind w:left="4094" w:hanging="567"/>
      </w:pPr>
      <w:rPr>
        <w:rFonts w:hint="default"/>
        <w:lang w:val="en-US" w:eastAsia="en-US" w:bidi="ar-SA"/>
      </w:rPr>
    </w:lvl>
    <w:lvl w:ilvl="4">
      <w:start w:val="0"/>
      <w:numFmt w:val="bullet"/>
      <w:lvlText w:val="•"/>
      <w:lvlJc w:val="left"/>
      <w:pPr>
        <w:ind w:left="4846" w:hanging="567"/>
      </w:pPr>
      <w:rPr>
        <w:rFonts w:hint="default"/>
        <w:lang w:val="en-US" w:eastAsia="en-US" w:bidi="ar-SA"/>
      </w:rPr>
    </w:lvl>
    <w:lvl w:ilvl="5">
      <w:start w:val="0"/>
      <w:numFmt w:val="bullet"/>
      <w:lvlText w:val="•"/>
      <w:lvlJc w:val="left"/>
      <w:pPr>
        <w:ind w:left="5597" w:hanging="567"/>
      </w:pPr>
      <w:rPr>
        <w:rFonts w:hint="default"/>
        <w:lang w:val="en-US" w:eastAsia="en-US" w:bidi="ar-SA"/>
      </w:rPr>
    </w:lvl>
    <w:lvl w:ilvl="6">
      <w:start w:val="0"/>
      <w:numFmt w:val="bullet"/>
      <w:lvlText w:val="•"/>
      <w:lvlJc w:val="left"/>
      <w:pPr>
        <w:ind w:left="6349" w:hanging="567"/>
      </w:pPr>
      <w:rPr>
        <w:rFonts w:hint="default"/>
        <w:lang w:val="en-US" w:eastAsia="en-US" w:bidi="ar-SA"/>
      </w:rPr>
    </w:lvl>
    <w:lvl w:ilvl="7">
      <w:start w:val="0"/>
      <w:numFmt w:val="bullet"/>
      <w:lvlText w:val="•"/>
      <w:lvlJc w:val="left"/>
      <w:pPr>
        <w:ind w:left="7100" w:hanging="567"/>
      </w:pPr>
      <w:rPr>
        <w:rFonts w:hint="default"/>
        <w:lang w:val="en-US" w:eastAsia="en-US" w:bidi="ar-SA"/>
      </w:rPr>
    </w:lvl>
    <w:lvl w:ilvl="8">
      <w:start w:val="0"/>
      <w:numFmt w:val="bullet"/>
      <w:lvlText w:val="•"/>
      <w:lvlJc w:val="left"/>
      <w:pPr>
        <w:ind w:left="7852" w:hanging="567"/>
      </w:pPr>
      <w:rPr>
        <w:rFonts w:hint="default"/>
        <w:lang w:val="en-US" w:eastAsia="en-US" w:bidi="ar-SA"/>
      </w:rPr>
    </w:lvl>
  </w:abstractNum>
  <w:abstractNum w:abstractNumId="7">
    <w:multiLevelType w:val="hybridMultilevel"/>
    <w:lvl w:ilvl="0">
      <w:start w:val="1"/>
      <w:numFmt w:val="decimal"/>
      <w:lvlText w:val="(%1)"/>
      <w:lvlJc w:val="left"/>
      <w:pPr>
        <w:ind w:left="1843" w:hanging="567"/>
        <w:jc w:val="left"/>
      </w:pPr>
      <w:rPr>
        <w:rFonts w:hint="default" w:ascii="Times New Roman" w:hAnsi="Times New Roman" w:eastAsia="Times New Roman" w:cs="Times New Roman"/>
        <w:b/>
        <w:bCs/>
        <w:i/>
        <w:iCs/>
        <w:color w:val="231F20"/>
        <w:spacing w:val="0"/>
        <w:w w:val="99"/>
        <w:sz w:val="20"/>
        <w:szCs w:val="20"/>
        <w:lang w:val="en-US" w:eastAsia="en-US" w:bidi="ar-SA"/>
      </w:rPr>
    </w:lvl>
    <w:lvl w:ilvl="1">
      <w:start w:val="1"/>
      <w:numFmt w:val="decimal"/>
      <w:lvlText w:val="%2."/>
      <w:lvlJc w:val="left"/>
      <w:pPr>
        <w:ind w:left="2410" w:hanging="567"/>
        <w:jc w:val="left"/>
      </w:pPr>
      <w:rPr>
        <w:rFonts w:hint="default" w:ascii="Times New Roman" w:hAnsi="Times New Roman" w:eastAsia="Times New Roman" w:cs="Times New Roman"/>
        <w:b w:val="0"/>
        <w:bCs w:val="0"/>
        <w:i w:val="0"/>
        <w:iCs w:val="0"/>
        <w:color w:val="231F20"/>
        <w:spacing w:val="0"/>
        <w:w w:val="100"/>
        <w:sz w:val="20"/>
        <w:szCs w:val="20"/>
        <w:lang w:val="en-US" w:eastAsia="en-US" w:bidi="ar-SA"/>
      </w:rPr>
    </w:lvl>
    <w:lvl w:ilvl="2">
      <w:start w:val="0"/>
      <w:numFmt w:val="bullet"/>
      <w:lvlText w:val="•"/>
      <w:lvlJc w:val="left"/>
      <w:pPr>
        <w:ind w:left="3190" w:hanging="567"/>
      </w:pPr>
      <w:rPr>
        <w:rFonts w:hint="default"/>
        <w:lang w:val="en-US" w:eastAsia="en-US" w:bidi="ar-SA"/>
      </w:rPr>
    </w:lvl>
    <w:lvl w:ilvl="3">
      <w:start w:val="0"/>
      <w:numFmt w:val="bullet"/>
      <w:lvlText w:val="•"/>
      <w:lvlJc w:val="left"/>
      <w:pPr>
        <w:ind w:left="3961" w:hanging="567"/>
      </w:pPr>
      <w:rPr>
        <w:rFonts w:hint="default"/>
        <w:lang w:val="en-US" w:eastAsia="en-US" w:bidi="ar-SA"/>
      </w:rPr>
    </w:lvl>
    <w:lvl w:ilvl="4">
      <w:start w:val="0"/>
      <w:numFmt w:val="bullet"/>
      <w:lvlText w:val="•"/>
      <w:lvlJc w:val="left"/>
      <w:pPr>
        <w:ind w:left="4731" w:hanging="567"/>
      </w:pPr>
      <w:rPr>
        <w:rFonts w:hint="default"/>
        <w:lang w:val="en-US" w:eastAsia="en-US" w:bidi="ar-SA"/>
      </w:rPr>
    </w:lvl>
    <w:lvl w:ilvl="5">
      <w:start w:val="0"/>
      <w:numFmt w:val="bullet"/>
      <w:lvlText w:val="•"/>
      <w:lvlJc w:val="left"/>
      <w:pPr>
        <w:ind w:left="5502" w:hanging="567"/>
      </w:pPr>
      <w:rPr>
        <w:rFonts w:hint="default"/>
        <w:lang w:val="en-US" w:eastAsia="en-US" w:bidi="ar-SA"/>
      </w:rPr>
    </w:lvl>
    <w:lvl w:ilvl="6">
      <w:start w:val="0"/>
      <w:numFmt w:val="bullet"/>
      <w:lvlText w:val="•"/>
      <w:lvlJc w:val="left"/>
      <w:pPr>
        <w:ind w:left="6273" w:hanging="567"/>
      </w:pPr>
      <w:rPr>
        <w:rFonts w:hint="default"/>
        <w:lang w:val="en-US" w:eastAsia="en-US" w:bidi="ar-SA"/>
      </w:rPr>
    </w:lvl>
    <w:lvl w:ilvl="7">
      <w:start w:val="0"/>
      <w:numFmt w:val="bullet"/>
      <w:lvlText w:val="•"/>
      <w:lvlJc w:val="left"/>
      <w:pPr>
        <w:ind w:left="7043" w:hanging="567"/>
      </w:pPr>
      <w:rPr>
        <w:rFonts w:hint="default"/>
        <w:lang w:val="en-US" w:eastAsia="en-US" w:bidi="ar-SA"/>
      </w:rPr>
    </w:lvl>
    <w:lvl w:ilvl="8">
      <w:start w:val="0"/>
      <w:numFmt w:val="bullet"/>
      <w:lvlText w:val="•"/>
      <w:lvlJc w:val="left"/>
      <w:pPr>
        <w:ind w:left="7814" w:hanging="567"/>
      </w:pPr>
      <w:rPr>
        <w:rFonts w:hint="default"/>
        <w:lang w:val="en-US" w:eastAsia="en-US" w:bidi="ar-SA"/>
      </w:rPr>
    </w:lvl>
  </w:abstractNum>
  <w:abstractNum w:abstractNumId="6">
    <w:multiLevelType w:val="hybridMultilevel"/>
    <w:lvl w:ilvl="0">
      <w:start w:val="1"/>
      <w:numFmt w:val="upperRoman"/>
      <w:lvlText w:val="%1."/>
      <w:lvlJc w:val="left"/>
      <w:pPr>
        <w:ind w:left="1276" w:hanging="567"/>
        <w:jc w:val="left"/>
      </w:pPr>
      <w:rPr>
        <w:rFonts w:hint="default" w:ascii="Times New Roman" w:hAnsi="Times New Roman" w:eastAsia="Times New Roman" w:cs="Times New Roman"/>
        <w:b/>
        <w:bCs/>
        <w:i w:val="0"/>
        <w:iCs w:val="0"/>
        <w:color w:val="231F20"/>
        <w:spacing w:val="0"/>
        <w:w w:val="99"/>
        <w:sz w:val="20"/>
        <w:szCs w:val="20"/>
        <w:lang w:val="en-US" w:eastAsia="en-US" w:bidi="ar-SA"/>
      </w:rPr>
    </w:lvl>
    <w:lvl w:ilvl="1">
      <w:start w:val="1"/>
      <w:numFmt w:val="upperRoman"/>
      <w:lvlText w:val="(%2)"/>
      <w:lvlJc w:val="left"/>
      <w:pPr>
        <w:ind w:left="1843" w:hanging="567"/>
        <w:jc w:val="left"/>
      </w:pPr>
      <w:rPr>
        <w:rFonts w:hint="default" w:ascii="Times New Roman" w:hAnsi="Times New Roman" w:eastAsia="Times New Roman" w:cs="Times New Roman"/>
        <w:b/>
        <w:bCs/>
        <w:i/>
        <w:iCs/>
        <w:color w:val="231F20"/>
        <w:spacing w:val="0"/>
        <w:w w:val="99"/>
        <w:sz w:val="20"/>
        <w:szCs w:val="20"/>
        <w:lang w:val="en-US" w:eastAsia="en-US" w:bidi="ar-SA"/>
      </w:rPr>
    </w:lvl>
    <w:lvl w:ilvl="2">
      <w:start w:val="1"/>
      <w:numFmt w:val="decimal"/>
      <w:lvlText w:val="%3."/>
      <w:lvlJc w:val="left"/>
      <w:pPr>
        <w:ind w:left="2410" w:hanging="567"/>
        <w:jc w:val="left"/>
      </w:pPr>
      <w:rPr>
        <w:rFonts w:hint="default" w:ascii="Times New Roman" w:hAnsi="Times New Roman" w:eastAsia="Times New Roman" w:cs="Times New Roman"/>
        <w:b w:val="0"/>
        <w:bCs w:val="0"/>
        <w:i w:val="0"/>
        <w:iCs w:val="0"/>
        <w:color w:val="231F20"/>
        <w:spacing w:val="0"/>
        <w:w w:val="100"/>
        <w:sz w:val="20"/>
        <w:szCs w:val="20"/>
        <w:lang w:val="en-US" w:eastAsia="en-US" w:bidi="ar-SA"/>
      </w:rPr>
    </w:lvl>
    <w:lvl w:ilvl="3">
      <w:start w:val="0"/>
      <w:numFmt w:val="bullet"/>
      <w:lvlText w:val="•"/>
      <w:lvlJc w:val="left"/>
      <w:pPr>
        <w:ind w:left="3286" w:hanging="567"/>
      </w:pPr>
      <w:rPr>
        <w:rFonts w:hint="default"/>
        <w:lang w:val="en-US" w:eastAsia="en-US" w:bidi="ar-SA"/>
      </w:rPr>
    </w:lvl>
    <w:lvl w:ilvl="4">
      <w:start w:val="0"/>
      <w:numFmt w:val="bullet"/>
      <w:lvlText w:val="•"/>
      <w:lvlJc w:val="left"/>
      <w:pPr>
        <w:ind w:left="4153" w:hanging="567"/>
      </w:pPr>
      <w:rPr>
        <w:rFonts w:hint="default"/>
        <w:lang w:val="en-US" w:eastAsia="en-US" w:bidi="ar-SA"/>
      </w:rPr>
    </w:lvl>
    <w:lvl w:ilvl="5">
      <w:start w:val="0"/>
      <w:numFmt w:val="bullet"/>
      <w:lvlText w:val="•"/>
      <w:lvlJc w:val="left"/>
      <w:pPr>
        <w:ind w:left="5020" w:hanging="567"/>
      </w:pPr>
      <w:rPr>
        <w:rFonts w:hint="default"/>
        <w:lang w:val="en-US" w:eastAsia="en-US" w:bidi="ar-SA"/>
      </w:rPr>
    </w:lvl>
    <w:lvl w:ilvl="6">
      <w:start w:val="0"/>
      <w:numFmt w:val="bullet"/>
      <w:lvlText w:val="•"/>
      <w:lvlJc w:val="left"/>
      <w:pPr>
        <w:ind w:left="5887" w:hanging="567"/>
      </w:pPr>
      <w:rPr>
        <w:rFonts w:hint="default"/>
        <w:lang w:val="en-US" w:eastAsia="en-US" w:bidi="ar-SA"/>
      </w:rPr>
    </w:lvl>
    <w:lvl w:ilvl="7">
      <w:start w:val="0"/>
      <w:numFmt w:val="bullet"/>
      <w:lvlText w:val="•"/>
      <w:lvlJc w:val="left"/>
      <w:pPr>
        <w:ind w:left="6754" w:hanging="567"/>
      </w:pPr>
      <w:rPr>
        <w:rFonts w:hint="default"/>
        <w:lang w:val="en-US" w:eastAsia="en-US" w:bidi="ar-SA"/>
      </w:rPr>
    </w:lvl>
    <w:lvl w:ilvl="8">
      <w:start w:val="0"/>
      <w:numFmt w:val="bullet"/>
      <w:lvlText w:val="•"/>
      <w:lvlJc w:val="left"/>
      <w:pPr>
        <w:ind w:left="7621" w:hanging="567"/>
      </w:pPr>
      <w:rPr>
        <w:rFonts w:hint="default"/>
        <w:lang w:val="en-US" w:eastAsia="en-US" w:bidi="ar-SA"/>
      </w:rPr>
    </w:lvl>
  </w:abstractNum>
  <w:abstractNum w:abstractNumId="5">
    <w:multiLevelType w:val="hybridMultilevel"/>
    <w:lvl w:ilvl="0">
      <w:start w:val="1"/>
      <w:numFmt w:val="decimal"/>
      <w:lvlText w:val="(%1)"/>
      <w:lvlJc w:val="left"/>
      <w:pPr>
        <w:ind w:left="1276" w:hanging="567"/>
        <w:jc w:val="left"/>
      </w:pPr>
      <w:rPr>
        <w:rFonts w:hint="default"/>
        <w:spacing w:val="0"/>
        <w:w w:val="99"/>
        <w:lang w:val="en-US" w:eastAsia="en-US" w:bidi="ar-SA"/>
      </w:rPr>
    </w:lvl>
    <w:lvl w:ilvl="1">
      <w:start w:val="0"/>
      <w:numFmt w:val="bullet"/>
      <w:lvlText w:val="•"/>
      <w:lvlJc w:val="left"/>
      <w:pPr>
        <w:ind w:left="2087" w:hanging="567"/>
      </w:pPr>
      <w:rPr>
        <w:rFonts w:hint="default"/>
        <w:lang w:val="en-US" w:eastAsia="en-US" w:bidi="ar-SA"/>
      </w:rPr>
    </w:lvl>
    <w:lvl w:ilvl="2">
      <w:start w:val="0"/>
      <w:numFmt w:val="bullet"/>
      <w:lvlText w:val="•"/>
      <w:lvlJc w:val="left"/>
      <w:pPr>
        <w:ind w:left="2895" w:hanging="567"/>
      </w:pPr>
      <w:rPr>
        <w:rFonts w:hint="default"/>
        <w:lang w:val="en-US" w:eastAsia="en-US" w:bidi="ar-SA"/>
      </w:rPr>
    </w:lvl>
    <w:lvl w:ilvl="3">
      <w:start w:val="0"/>
      <w:numFmt w:val="bullet"/>
      <w:lvlText w:val="•"/>
      <w:lvlJc w:val="left"/>
      <w:pPr>
        <w:ind w:left="3702" w:hanging="567"/>
      </w:pPr>
      <w:rPr>
        <w:rFonts w:hint="default"/>
        <w:lang w:val="en-US" w:eastAsia="en-US" w:bidi="ar-SA"/>
      </w:rPr>
    </w:lvl>
    <w:lvl w:ilvl="4">
      <w:start w:val="0"/>
      <w:numFmt w:val="bullet"/>
      <w:lvlText w:val="•"/>
      <w:lvlJc w:val="left"/>
      <w:pPr>
        <w:ind w:left="4510" w:hanging="567"/>
      </w:pPr>
      <w:rPr>
        <w:rFonts w:hint="default"/>
        <w:lang w:val="en-US" w:eastAsia="en-US" w:bidi="ar-SA"/>
      </w:rPr>
    </w:lvl>
    <w:lvl w:ilvl="5">
      <w:start w:val="0"/>
      <w:numFmt w:val="bullet"/>
      <w:lvlText w:val="•"/>
      <w:lvlJc w:val="left"/>
      <w:pPr>
        <w:ind w:left="5317" w:hanging="567"/>
      </w:pPr>
      <w:rPr>
        <w:rFonts w:hint="default"/>
        <w:lang w:val="en-US" w:eastAsia="en-US" w:bidi="ar-SA"/>
      </w:rPr>
    </w:lvl>
    <w:lvl w:ilvl="6">
      <w:start w:val="0"/>
      <w:numFmt w:val="bullet"/>
      <w:lvlText w:val="•"/>
      <w:lvlJc w:val="left"/>
      <w:pPr>
        <w:ind w:left="6125" w:hanging="567"/>
      </w:pPr>
      <w:rPr>
        <w:rFonts w:hint="default"/>
        <w:lang w:val="en-US" w:eastAsia="en-US" w:bidi="ar-SA"/>
      </w:rPr>
    </w:lvl>
    <w:lvl w:ilvl="7">
      <w:start w:val="0"/>
      <w:numFmt w:val="bullet"/>
      <w:lvlText w:val="•"/>
      <w:lvlJc w:val="left"/>
      <w:pPr>
        <w:ind w:left="6932" w:hanging="567"/>
      </w:pPr>
      <w:rPr>
        <w:rFonts w:hint="default"/>
        <w:lang w:val="en-US" w:eastAsia="en-US" w:bidi="ar-SA"/>
      </w:rPr>
    </w:lvl>
    <w:lvl w:ilvl="8">
      <w:start w:val="0"/>
      <w:numFmt w:val="bullet"/>
      <w:lvlText w:val="•"/>
      <w:lvlJc w:val="left"/>
      <w:pPr>
        <w:ind w:left="7740" w:hanging="567"/>
      </w:pPr>
      <w:rPr>
        <w:rFonts w:hint="default"/>
        <w:lang w:val="en-US" w:eastAsia="en-US" w:bidi="ar-SA"/>
      </w:rPr>
    </w:lvl>
  </w:abstractNum>
  <w:abstractNum w:abstractNumId="4">
    <w:multiLevelType w:val="hybridMultilevel"/>
    <w:lvl w:ilvl="0">
      <w:start w:val="1"/>
      <w:numFmt w:val="decimal"/>
      <w:lvlText w:val="%1."/>
      <w:lvlJc w:val="left"/>
      <w:pPr>
        <w:ind w:left="709" w:hanging="567"/>
        <w:jc w:val="left"/>
      </w:pPr>
      <w:rPr>
        <w:rFonts w:hint="default" w:ascii="Times New Roman" w:hAnsi="Times New Roman" w:eastAsia="Times New Roman" w:cs="Times New Roman"/>
        <w:b/>
        <w:bCs/>
        <w:i w:val="0"/>
        <w:iCs w:val="0"/>
        <w:color w:val="231F20"/>
        <w:spacing w:val="0"/>
        <w:w w:val="100"/>
        <w:sz w:val="20"/>
        <w:szCs w:val="20"/>
        <w:lang w:val="en-US" w:eastAsia="en-US" w:bidi="ar-SA"/>
      </w:rPr>
    </w:lvl>
    <w:lvl w:ilvl="1">
      <w:start w:val="1"/>
      <w:numFmt w:val="decimal"/>
      <w:lvlText w:val="(%2)"/>
      <w:lvlJc w:val="left"/>
      <w:pPr>
        <w:ind w:left="1276" w:hanging="567"/>
        <w:jc w:val="left"/>
      </w:pPr>
      <w:rPr>
        <w:rFonts w:hint="default" w:ascii="Times New Roman" w:hAnsi="Times New Roman" w:eastAsia="Times New Roman" w:cs="Times New Roman"/>
        <w:b w:val="0"/>
        <w:bCs w:val="0"/>
        <w:i/>
        <w:iCs/>
        <w:color w:val="231F20"/>
        <w:spacing w:val="0"/>
        <w:w w:val="99"/>
        <w:sz w:val="20"/>
        <w:szCs w:val="20"/>
        <w:lang w:val="en-US" w:eastAsia="en-US" w:bidi="ar-SA"/>
      </w:rPr>
    </w:lvl>
    <w:lvl w:ilvl="2">
      <w:start w:val="0"/>
      <w:numFmt w:val="bullet"/>
      <w:lvlText w:val="•"/>
      <w:lvlJc w:val="left"/>
      <w:pPr>
        <w:ind w:left="2177" w:hanging="567"/>
      </w:pPr>
      <w:rPr>
        <w:rFonts w:hint="default"/>
        <w:lang w:val="en-US" w:eastAsia="en-US" w:bidi="ar-SA"/>
      </w:rPr>
    </w:lvl>
    <w:lvl w:ilvl="3">
      <w:start w:val="0"/>
      <w:numFmt w:val="bullet"/>
      <w:lvlText w:val="•"/>
      <w:lvlJc w:val="left"/>
      <w:pPr>
        <w:ind w:left="3074" w:hanging="567"/>
      </w:pPr>
      <w:rPr>
        <w:rFonts w:hint="default"/>
        <w:lang w:val="en-US" w:eastAsia="en-US" w:bidi="ar-SA"/>
      </w:rPr>
    </w:lvl>
    <w:lvl w:ilvl="4">
      <w:start w:val="0"/>
      <w:numFmt w:val="bullet"/>
      <w:lvlText w:val="•"/>
      <w:lvlJc w:val="left"/>
      <w:pPr>
        <w:ind w:left="3971" w:hanging="567"/>
      </w:pPr>
      <w:rPr>
        <w:rFonts w:hint="default"/>
        <w:lang w:val="en-US" w:eastAsia="en-US" w:bidi="ar-SA"/>
      </w:rPr>
    </w:lvl>
    <w:lvl w:ilvl="5">
      <w:start w:val="0"/>
      <w:numFmt w:val="bullet"/>
      <w:lvlText w:val="•"/>
      <w:lvlJc w:val="left"/>
      <w:pPr>
        <w:ind w:left="4869" w:hanging="567"/>
      </w:pPr>
      <w:rPr>
        <w:rFonts w:hint="default"/>
        <w:lang w:val="en-US" w:eastAsia="en-US" w:bidi="ar-SA"/>
      </w:rPr>
    </w:lvl>
    <w:lvl w:ilvl="6">
      <w:start w:val="0"/>
      <w:numFmt w:val="bullet"/>
      <w:lvlText w:val="•"/>
      <w:lvlJc w:val="left"/>
      <w:pPr>
        <w:ind w:left="5766" w:hanging="567"/>
      </w:pPr>
      <w:rPr>
        <w:rFonts w:hint="default"/>
        <w:lang w:val="en-US" w:eastAsia="en-US" w:bidi="ar-SA"/>
      </w:rPr>
    </w:lvl>
    <w:lvl w:ilvl="7">
      <w:start w:val="0"/>
      <w:numFmt w:val="bullet"/>
      <w:lvlText w:val="•"/>
      <w:lvlJc w:val="left"/>
      <w:pPr>
        <w:ind w:left="6663" w:hanging="567"/>
      </w:pPr>
      <w:rPr>
        <w:rFonts w:hint="default"/>
        <w:lang w:val="en-US" w:eastAsia="en-US" w:bidi="ar-SA"/>
      </w:rPr>
    </w:lvl>
    <w:lvl w:ilvl="8">
      <w:start w:val="0"/>
      <w:numFmt w:val="bullet"/>
      <w:lvlText w:val="•"/>
      <w:lvlJc w:val="left"/>
      <w:pPr>
        <w:ind w:left="7560" w:hanging="567"/>
      </w:pPr>
      <w:rPr>
        <w:rFonts w:hint="default"/>
        <w:lang w:val="en-US" w:eastAsia="en-US" w:bidi="ar-SA"/>
      </w:rPr>
    </w:lvl>
  </w:abstractNum>
  <w:abstractNum w:abstractNumId="3">
    <w:multiLevelType w:val="hybridMultilevel"/>
    <w:lvl w:ilvl="0">
      <w:start w:val="6"/>
      <w:numFmt w:val="decimal"/>
      <w:lvlText w:val="%1."/>
      <w:lvlJc w:val="left"/>
      <w:pPr>
        <w:ind w:left="709" w:hanging="567"/>
        <w:jc w:val="left"/>
      </w:pPr>
      <w:rPr>
        <w:rFonts w:hint="default" w:ascii="Times New Roman" w:hAnsi="Times New Roman" w:eastAsia="Times New Roman" w:cs="Times New Roman"/>
        <w:b/>
        <w:bCs/>
        <w:i w:val="0"/>
        <w:iCs w:val="0"/>
        <w:color w:val="231F20"/>
        <w:spacing w:val="0"/>
        <w:w w:val="100"/>
        <w:sz w:val="20"/>
        <w:szCs w:val="20"/>
        <w:lang w:val="en-US" w:eastAsia="en-US" w:bidi="ar-SA"/>
      </w:rPr>
    </w:lvl>
    <w:lvl w:ilvl="1">
      <w:start w:val="0"/>
      <w:numFmt w:val="bullet"/>
      <w:lvlText w:val="•"/>
      <w:lvlJc w:val="left"/>
      <w:pPr>
        <w:ind w:left="1565" w:hanging="567"/>
      </w:pPr>
      <w:rPr>
        <w:rFonts w:hint="default"/>
        <w:lang w:val="en-US" w:eastAsia="en-US" w:bidi="ar-SA"/>
      </w:rPr>
    </w:lvl>
    <w:lvl w:ilvl="2">
      <w:start w:val="0"/>
      <w:numFmt w:val="bullet"/>
      <w:lvlText w:val="•"/>
      <w:lvlJc w:val="left"/>
      <w:pPr>
        <w:ind w:left="2431" w:hanging="567"/>
      </w:pPr>
      <w:rPr>
        <w:rFonts w:hint="default"/>
        <w:lang w:val="en-US" w:eastAsia="en-US" w:bidi="ar-SA"/>
      </w:rPr>
    </w:lvl>
    <w:lvl w:ilvl="3">
      <w:start w:val="0"/>
      <w:numFmt w:val="bullet"/>
      <w:lvlText w:val="•"/>
      <w:lvlJc w:val="left"/>
      <w:pPr>
        <w:ind w:left="3296" w:hanging="567"/>
      </w:pPr>
      <w:rPr>
        <w:rFonts w:hint="default"/>
        <w:lang w:val="en-US" w:eastAsia="en-US" w:bidi="ar-SA"/>
      </w:rPr>
    </w:lvl>
    <w:lvl w:ilvl="4">
      <w:start w:val="0"/>
      <w:numFmt w:val="bullet"/>
      <w:lvlText w:val="•"/>
      <w:lvlJc w:val="left"/>
      <w:pPr>
        <w:ind w:left="4162" w:hanging="567"/>
      </w:pPr>
      <w:rPr>
        <w:rFonts w:hint="default"/>
        <w:lang w:val="en-US" w:eastAsia="en-US" w:bidi="ar-SA"/>
      </w:rPr>
    </w:lvl>
    <w:lvl w:ilvl="5">
      <w:start w:val="0"/>
      <w:numFmt w:val="bullet"/>
      <w:lvlText w:val="•"/>
      <w:lvlJc w:val="left"/>
      <w:pPr>
        <w:ind w:left="5027" w:hanging="567"/>
      </w:pPr>
      <w:rPr>
        <w:rFonts w:hint="default"/>
        <w:lang w:val="en-US" w:eastAsia="en-US" w:bidi="ar-SA"/>
      </w:rPr>
    </w:lvl>
    <w:lvl w:ilvl="6">
      <w:start w:val="0"/>
      <w:numFmt w:val="bullet"/>
      <w:lvlText w:val="•"/>
      <w:lvlJc w:val="left"/>
      <w:pPr>
        <w:ind w:left="5893" w:hanging="567"/>
      </w:pPr>
      <w:rPr>
        <w:rFonts w:hint="default"/>
        <w:lang w:val="en-US" w:eastAsia="en-US" w:bidi="ar-SA"/>
      </w:rPr>
    </w:lvl>
    <w:lvl w:ilvl="7">
      <w:start w:val="0"/>
      <w:numFmt w:val="bullet"/>
      <w:lvlText w:val="•"/>
      <w:lvlJc w:val="left"/>
      <w:pPr>
        <w:ind w:left="6758" w:hanging="567"/>
      </w:pPr>
      <w:rPr>
        <w:rFonts w:hint="default"/>
        <w:lang w:val="en-US" w:eastAsia="en-US" w:bidi="ar-SA"/>
      </w:rPr>
    </w:lvl>
    <w:lvl w:ilvl="8">
      <w:start w:val="0"/>
      <w:numFmt w:val="bullet"/>
      <w:lvlText w:val="•"/>
      <w:lvlJc w:val="left"/>
      <w:pPr>
        <w:ind w:left="7624" w:hanging="567"/>
      </w:pPr>
      <w:rPr>
        <w:rFonts w:hint="default"/>
        <w:lang w:val="en-US" w:eastAsia="en-US" w:bidi="ar-SA"/>
      </w:rPr>
    </w:lvl>
  </w:abstractNum>
  <w:abstractNum w:abstractNumId="2">
    <w:multiLevelType w:val="hybridMultilevel"/>
    <w:lvl w:ilvl="0">
      <w:start w:val="1"/>
      <w:numFmt w:val="decimal"/>
      <w:lvlText w:val="%1."/>
      <w:lvlJc w:val="left"/>
      <w:pPr>
        <w:ind w:left="709" w:hanging="567"/>
        <w:jc w:val="left"/>
      </w:pPr>
      <w:rPr>
        <w:rFonts w:hint="default" w:ascii="Times New Roman" w:hAnsi="Times New Roman" w:eastAsia="Times New Roman" w:cs="Times New Roman"/>
        <w:b/>
        <w:bCs/>
        <w:i w:val="0"/>
        <w:iCs w:val="0"/>
        <w:color w:val="231F20"/>
        <w:spacing w:val="0"/>
        <w:w w:val="100"/>
        <w:sz w:val="20"/>
        <w:szCs w:val="20"/>
        <w:lang w:val="en-US" w:eastAsia="en-US" w:bidi="ar-SA"/>
      </w:rPr>
    </w:lvl>
    <w:lvl w:ilvl="1">
      <w:start w:val="0"/>
      <w:numFmt w:val="bullet"/>
      <w:lvlText w:val="•"/>
      <w:lvlJc w:val="left"/>
      <w:pPr>
        <w:ind w:left="1565" w:hanging="567"/>
      </w:pPr>
      <w:rPr>
        <w:rFonts w:hint="default"/>
        <w:lang w:val="en-US" w:eastAsia="en-US" w:bidi="ar-SA"/>
      </w:rPr>
    </w:lvl>
    <w:lvl w:ilvl="2">
      <w:start w:val="0"/>
      <w:numFmt w:val="bullet"/>
      <w:lvlText w:val="•"/>
      <w:lvlJc w:val="left"/>
      <w:pPr>
        <w:ind w:left="2431" w:hanging="567"/>
      </w:pPr>
      <w:rPr>
        <w:rFonts w:hint="default"/>
        <w:lang w:val="en-US" w:eastAsia="en-US" w:bidi="ar-SA"/>
      </w:rPr>
    </w:lvl>
    <w:lvl w:ilvl="3">
      <w:start w:val="0"/>
      <w:numFmt w:val="bullet"/>
      <w:lvlText w:val="•"/>
      <w:lvlJc w:val="left"/>
      <w:pPr>
        <w:ind w:left="3296" w:hanging="567"/>
      </w:pPr>
      <w:rPr>
        <w:rFonts w:hint="default"/>
        <w:lang w:val="en-US" w:eastAsia="en-US" w:bidi="ar-SA"/>
      </w:rPr>
    </w:lvl>
    <w:lvl w:ilvl="4">
      <w:start w:val="0"/>
      <w:numFmt w:val="bullet"/>
      <w:lvlText w:val="•"/>
      <w:lvlJc w:val="left"/>
      <w:pPr>
        <w:ind w:left="4162" w:hanging="567"/>
      </w:pPr>
      <w:rPr>
        <w:rFonts w:hint="default"/>
        <w:lang w:val="en-US" w:eastAsia="en-US" w:bidi="ar-SA"/>
      </w:rPr>
    </w:lvl>
    <w:lvl w:ilvl="5">
      <w:start w:val="0"/>
      <w:numFmt w:val="bullet"/>
      <w:lvlText w:val="•"/>
      <w:lvlJc w:val="left"/>
      <w:pPr>
        <w:ind w:left="5027" w:hanging="567"/>
      </w:pPr>
      <w:rPr>
        <w:rFonts w:hint="default"/>
        <w:lang w:val="en-US" w:eastAsia="en-US" w:bidi="ar-SA"/>
      </w:rPr>
    </w:lvl>
    <w:lvl w:ilvl="6">
      <w:start w:val="0"/>
      <w:numFmt w:val="bullet"/>
      <w:lvlText w:val="•"/>
      <w:lvlJc w:val="left"/>
      <w:pPr>
        <w:ind w:left="5893" w:hanging="567"/>
      </w:pPr>
      <w:rPr>
        <w:rFonts w:hint="default"/>
        <w:lang w:val="en-US" w:eastAsia="en-US" w:bidi="ar-SA"/>
      </w:rPr>
    </w:lvl>
    <w:lvl w:ilvl="7">
      <w:start w:val="0"/>
      <w:numFmt w:val="bullet"/>
      <w:lvlText w:val="•"/>
      <w:lvlJc w:val="left"/>
      <w:pPr>
        <w:ind w:left="6758" w:hanging="567"/>
      </w:pPr>
      <w:rPr>
        <w:rFonts w:hint="default"/>
        <w:lang w:val="en-US" w:eastAsia="en-US" w:bidi="ar-SA"/>
      </w:rPr>
    </w:lvl>
    <w:lvl w:ilvl="8">
      <w:start w:val="0"/>
      <w:numFmt w:val="bullet"/>
      <w:lvlText w:val="•"/>
      <w:lvlJc w:val="left"/>
      <w:pPr>
        <w:ind w:left="7624" w:hanging="567"/>
      </w:pPr>
      <w:rPr>
        <w:rFonts w:hint="default"/>
        <w:lang w:val="en-US" w:eastAsia="en-US" w:bidi="ar-SA"/>
      </w:rPr>
    </w:lvl>
  </w:abstractNum>
  <w:abstractNum w:abstractNumId="1">
    <w:multiLevelType w:val="hybridMultilevel"/>
    <w:lvl w:ilvl="0">
      <w:start w:val="1"/>
      <w:numFmt w:val="decimal"/>
      <w:lvlText w:val="(%1)"/>
      <w:lvlJc w:val="left"/>
      <w:pPr>
        <w:ind w:left="821" w:hanging="364"/>
        <w:jc w:val="right"/>
      </w:pPr>
      <w:rPr>
        <w:rFonts w:hint="default" w:ascii="Times New Roman" w:hAnsi="Times New Roman" w:eastAsia="Times New Roman" w:cs="Times New Roman"/>
        <w:b/>
        <w:bCs/>
        <w:i w:val="0"/>
        <w:iCs w:val="0"/>
        <w:color w:val="231F20"/>
        <w:spacing w:val="0"/>
        <w:w w:val="99"/>
        <w:sz w:val="24"/>
        <w:szCs w:val="24"/>
        <w:lang w:val="en-US" w:eastAsia="en-US" w:bidi="ar-SA"/>
      </w:rPr>
    </w:lvl>
    <w:lvl w:ilvl="1">
      <w:start w:val="0"/>
      <w:numFmt w:val="bullet"/>
      <w:lvlText w:val="•"/>
      <w:lvlJc w:val="left"/>
      <w:pPr>
        <w:ind w:left="1673" w:hanging="364"/>
      </w:pPr>
      <w:rPr>
        <w:rFonts w:hint="default"/>
        <w:lang w:val="en-US" w:eastAsia="en-US" w:bidi="ar-SA"/>
      </w:rPr>
    </w:lvl>
    <w:lvl w:ilvl="2">
      <w:start w:val="0"/>
      <w:numFmt w:val="bullet"/>
      <w:lvlText w:val="•"/>
      <w:lvlJc w:val="left"/>
      <w:pPr>
        <w:ind w:left="2527" w:hanging="364"/>
      </w:pPr>
      <w:rPr>
        <w:rFonts w:hint="default"/>
        <w:lang w:val="en-US" w:eastAsia="en-US" w:bidi="ar-SA"/>
      </w:rPr>
    </w:lvl>
    <w:lvl w:ilvl="3">
      <w:start w:val="0"/>
      <w:numFmt w:val="bullet"/>
      <w:lvlText w:val="•"/>
      <w:lvlJc w:val="left"/>
      <w:pPr>
        <w:ind w:left="3380" w:hanging="364"/>
      </w:pPr>
      <w:rPr>
        <w:rFonts w:hint="default"/>
        <w:lang w:val="en-US" w:eastAsia="en-US" w:bidi="ar-SA"/>
      </w:rPr>
    </w:lvl>
    <w:lvl w:ilvl="4">
      <w:start w:val="0"/>
      <w:numFmt w:val="bullet"/>
      <w:lvlText w:val="•"/>
      <w:lvlJc w:val="left"/>
      <w:pPr>
        <w:ind w:left="4234" w:hanging="364"/>
      </w:pPr>
      <w:rPr>
        <w:rFonts w:hint="default"/>
        <w:lang w:val="en-US" w:eastAsia="en-US" w:bidi="ar-SA"/>
      </w:rPr>
    </w:lvl>
    <w:lvl w:ilvl="5">
      <w:start w:val="0"/>
      <w:numFmt w:val="bullet"/>
      <w:lvlText w:val="•"/>
      <w:lvlJc w:val="left"/>
      <w:pPr>
        <w:ind w:left="5087" w:hanging="364"/>
      </w:pPr>
      <w:rPr>
        <w:rFonts w:hint="default"/>
        <w:lang w:val="en-US" w:eastAsia="en-US" w:bidi="ar-SA"/>
      </w:rPr>
    </w:lvl>
    <w:lvl w:ilvl="6">
      <w:start w:val="0"/>
      <w:numFmt w:val="bullet"/>
      <w:lvlText w:val="•"/>
      <w:lvlJc w:val="left"/>
      <w:pPr>
        <w:ind w:left="5941" w:hanging="364"/>
      </w:pPr>
      <w:rPr>
        <w:rFonts w:hint="default"/>
        <w:lang w:val="en-US" w:eastAsia="en-US" w:bidi="ar-SA"/>
      </w:rPr>
    </w:lvl>
    <w:lvl w:ilvl="7">
      <w:start w:val="0"/>
      <w:numFmt w:val="bullet"/>
      <w:lvlText w:val="•"/>
      <w:lvlJc w:val="left"/>
      <w:pPr>
        <w:ind w:left="6794" w:hanging="364"/>
      </w:pPr>
      <w:rPr>
        <w:rFonts w:hint="default"/>
        <w:lang w:val="en-US" w:eastAsia="en-US" w:bidi="ar-SA"/>
      </w:rPr>
    </w:lvl>
    <w:lvl w:ilvl="8">
      <w:start w:val="0"/>
      <w:numFmt w:val="bullet"/>
      <w:lvlText w:val="•"/>
      <w:lvlJc w:val="left"/>
      <w:pPr>
        <w:ind w:left="7648" w:hanging="364"/>
      </w:pPr>
      <w:rPr>
        <w:rFonts w:hint="default"/>
        <w:lang w:val="en-US" w:eastAsia="en-US" w:bidi="ar-SA"/>
      </w:rPr>
    </w:lvl>
  </w:abstractNum>
  <w:abstractNum w:abstractNumId="0">
    <w:multiLevelType w:val="hybridMultilevel"/>
    <w:lvl w:ilvl="0">
      <w:start w:val="1"/>
      <w:numFmt w:val="decimal"/>
      <w:lvlText w:val="(%1)"/>
      <w:lvlJc w:val="left"/>
      <w:pPr>
        <w:ind w:left="821" w:hanging="364"/>
        <w:jc w:val="right"/>
      </w:pPr>
      <w:rPr>
        <w:rFonts w:hint="default" w:ascii="Times New Roman" w:hAnsi="Times New Roman" w:eastAsia="Times New Roman" w:cs="Times New Roman"/>
        <w:b/>
        <w:bCs/>
        <w:i w:val="0"/>
        <w:iCs w:val="0"/>
        <w:color w:val="231F20"/>
        <w:spacing w:val="0"/>
        <w:w w:val="99"/>
        <w:sz w:val="24"/>
        <w:szCs w:val="24"/>
        <w:lang w:val="en-US" w:eastAsia="en-US" w:bidi="ar-SA"/>
      </w:rPr>
    </w:lvl>
    <w:lvl w:ilvl="1">
      <w:start w:val="0"/>
      <w:numFmt w:val="bullet"/>
      <w:lvlText w:val="•"/>
      <w:lvlJc w:val="left"/>
      <w:pPr>
        <w:ind w:left="1673" w:hanging="364"/>
      </w:pPr>
      <w:rPr>
        <w:rFonts w:hint="default"/>
        <w:lang w:val="en-US" w:eastAsia="en-US" w:bidi="ar-SA"/>
      </w:rPr>
    </w:lvl>
    <w:lvl w:ilvl="2">
      <w:start w:val="0"/>
      <w:numFmt w:val="bullet"/>
      <w:lvlText w:val="•"/>
      <w:lvlJc w:val="left"/>
      <w:pPr>
        <w:ind w:left="2527" w:hanging="364"/>
      </w:pPr>
      <w:rPr>
        <w:rFonts w:hint="default"/>
        <w:lang w:val="en-US" w:eastAsia="en-US" w:bidi="ar-SA"/>
      </w:rPr>
    </w:lvl>
    <w:lvl w:ilvl="3">
      <w:start w:val="0"/>
      <w:numFmt w:val="bullet"/>
      <w:lvlText w:val="•"/>
      <w:lvlJc w:val="left"/>
      <w:pPr>
        <w:ind w:left="3380" w:hanging="364"/>
      </w:pPr>
      <w:rPr>
        <w:rFonts w:hint="default"/>
        <w:lang w:val="en-US" w:eastAsia="en-US" w:bidi="ar-SA"/>
      </w:rPr>
    </w:lvl>
    <w:lvl w:ilvl="4">
      <w:start w:val="0"/>
      <w:numFmt w:val="bullet"/>
      <w:lvlText w:val="•"/>
      <w:lvlJc w:val="left"/>
      <w:pPr>
        <w:ind w:left="4234" w:hanging="364"/>
      </w:pPr>
      <w:rPr>
        <w:rFonts w:hint="default"/>
        <w:lang w:val="en-US" w:eastAsia="en-US" w:bidi="ar-SA"/>
      </w:rPr>
    </w:lvl>
    <w:lvl w:ilvl="5">
      <w:start w:val="0"/>
      <w:numFmt w:val="bullet"/>
      <w:lvlText w:val="•"/>
      <w:lvlJc w:val="left"/>
      <w:pPr>
        <w:ind w:left="5087" w:hanging="364"/>
      </w:pPr>
      <w:rPr>
        <w:rFonts w:hint="default"/>
        <w:lang w:val="en-US" w:eastAsia="en-US" w:bidi="ar-SA"/>
      </w:rPr>
    </w:lvl>
    <w:lvl w:ilvl="6">
      <w:start w:val="0"/>
      <w:numFmt w:val="bullet"/>
      <w:lvlText w:val="•"/>
      <w:lvlJc w:val="left"/>
      <w:pPr>
        <w:ind w:left="5941" w:hanging="364"/>
      </w:pPr>
      <w:rPr>
        <w:rFonts w:hint="default"/>
        <w:lang w:val="en-US" w:eastAsia="en-US" w:bidi="ar-SA"/>
      </w:rPr>
    </w:lvl>
    <w:lvl w:ilvl="7">
      <w:start w:val="0"/>
      <w:numFmt w:val="bullet"/>
      <w:lvlText w:val="•"/>
      <w:lvlJc w:val="left"/>
      <w:pPr>
        <w:ind w:left="6794" w:hanging="364"/>
      </w:pPr>
      <w:rPr>
        <w:rFonts w:hint="default"/>
        <w:lang w:val="en-US" w:eastAsia="en-US" w:bidi="ar-SA"/>
      </w:rPr>
    </w:lvl>
    <w:lvl w:ilvl="8">
      <w:start w:val="0"/>
      <w:numFmt w:val="bullet"/>
      <w:lvlText w:val="•"/>
      <w:lvlJc w:val="left"/>
      <w:pPr>
        <w:ind w:left="7648" w:hanging="364"/>
      </w:pPr>
      <w:rPr>
        <w:rFonts w:hint="default"/>
        <w:lang w:val="en-US" w:eastAsia="en-US" w:bidi="ar-SA"/>
      </w:rPr>
    </w:lvl>
  </w:abstract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rPr>
      <w:rFonts w:ascii="Times New Roman" w:hAnsi="Times New Roman" w:eastAsia="Times New Roman" w:cs="Times New Roman"/>
      <w:sz w:val="20"/>
      <w:szCs w:val="20"/>
      <w:lang w:val="en-US" w:eastAsia="en-US" w:bidi="ar-SA"/>
    </w:rPr>
  </w:style>
  <w:style w:styleId="Heading1" w:type="paragraph">
    <w:name w:val="Heading 1"/>
    <w:basedOn w:val="Normal"/>
    <w:uiPriority w:val="1"/>
    <w:qFormat/>
    <w:pPr>
      <w:spacing w:before="302" w:line="371" w:lineRule="exact"/>
      <w:ind w:left="3044"/>
      <w:outlineLvl w:val="1"/>
    </w:pPr>
    <w:rPr>
      <w:rFonts w:ascii="Times New Roman" w:hAnsi="Times New Roman" w:eastAsia="Times New Roman" w:cs="Times New Roman"/>
      <w:b/>
      <w:bCs/>
      <w:sz w:val="34"/>
      <w:szCs w:val="34"/>
      <w:lang w:val="en-US" w:eastAsia="en-US" w:bidi="ar-SA"/>
    </w:rPr>
  </w:style>
  <w:style w:styleId="Heading2" w:type="paragraph">
    <w:name w:val="Heading 2"/>
    <w:basedOn w:val="Normal"/>
    <w:uiPriority w:val="1"/>
    <w:qFormat/>
    <w:pPr>
      <w:spacing w:line="564" w:lineRule="exact"/>
      <w:ind w:left="3009"/>
      <w:outlineLvl w:val="2"/>
    </w:pPr>
    <w:rPr>
      <w:rFonts w:ascii="Microsoft YaHei" w:hAnsi="Microsoft YaHei" w:eastAsia="Microsoft YaHei" w:cs="Microsoft YaHei"/>
      <w:b/>
      <w:bCs/>
      <w:sz w:val="34"/>
      <w:szCs w:val="34"/>
      <w:lang w:val="en-US" w:eastAsia="en-US" w:bidi="ar-SA"/>
    </w:rPr>
  </w:style>
  <w:style w:styleId="Heading3" w:type="paragraph">
    <w:name w:val="Heading 3"/>
    <w:basedOn w:val="Normal"/>
    <w:uiPriority w:val="1"/>
    <w:qFormat/>
    <w:pPr>
      <w:ind w:left="709" w:hanging="567"/>
      <w:outlineLvl w:val="3"/>
    </w:pPr>
    <w:rPr>
      <w:rFonts w:ascii="Times New Roman" w:hAnsi="Times New Roman" w:eastAsia="Times New Roman" w:cs="Times New Roman"/>
      <w:b/>
      <w:bCs/>
      <w:sz w:val="20"/>
      <w:szCs w:val="20"/>
      <w:lang w:val="en-US" w:eastAsia="en-US" w:bidi="ar-SA"/>
    </w:rPr>
  </w:style>
  <w:style w:styleId="Heading4" w:type="paragraph">
    <w:name w:val="Heading 4"/>
    <w:basedOn w:val="Normal"/>
    <w:uiPriority w:val="1"/>
    <w:qFormat/>
    <w:pPr>
      <w:spacing w:before="50"/>
      <w:ind w:right="68"/>
      <w:jc w:val="right"/>
      <w:outlineLvl w:val="4"/>
    </w:pPr>
    <w:rPr>
      <w:rFonts w:ascii="Times New Roman" w:hAnsi="Times New Roman" w:eastAsia="Times New Roman" w:cs="Times New Roman"/>
      <w:b/>
      <w:bCs/>
      <w:i/>
      <w:iCs/>
      <w:sz w:val="20"/>
      <w:szCs w:val="20"/>
      <w:lang w:val="en-US" w:eastAsia="en-US" w:bidi="ar-SA"/>
    </w:rPr>
  </w:style>
  <w:style w:styleId="Heading5" w:type="paragraph">
    <w:name w:val="Heading 5"/>
    <w:basedOn w:val="Normal"/>
    <w:uiPriority w:val="1"/>
    <w:qFormat/>
    <w:pPr>
      <w:ind w:left="1843" w:hanging="567"/>
      <w:outlineLvl w:val="5"/>
    </w:pPr>
    <w:rPr>
      <w:rFonts w:ascii="Times New Roman" w:hAnsi="Times New Roman" w:eastAsia="Times New Roman" w:cs="Times New Roman"/>
      <w:b/>
      <w:bCs/>
      <w:i/>
      <w:iCs/>
      <w:sz w:val="20"/>
      <w:szCs w:val="20"/>
      <w:lang w:val="en-US" w:eastAsia="en-US" w:bidi="ar-SA"/>
    </w:rPr>
  </w:style>
  <w:style w:styleId="ListParagraph" w:type="paragraph">
    <w:name w:val="List Paragraph"/>
    <w:basedOn w:val="Normal"/>
    <w:uiPriority w:val="1"/>
    <w:qFormat/>
    <w:pPr>
      <w:ind w:left="2409" w:hanging="567"/>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spacing w:before="21"/>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hyperlink" Target="http://www.hkexnews.hk/" TargetMode="External"/><Relationship Id="rId7" Type="http://schemas.openxmlformats.org/officeDocument/2006/relationships/hyperlink" Target="http://www.jihong.cn/" TargetMode="Externa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header" Target="header3.xml"/><Relationship Id="rId11" Type="http://schemas.openxmlformats.org/officeDocument/2006/relationships/footer" Target="footer2.xml"/><Relationship Id="rId12" Type="http://schemas.openxmlformats.org/officeDocument/2006/relationships/header" Target="header4.xml"/><Relationship Id="rId13" Type="http://schemas.openxmlformats.org/officeDocument/2006/relationships/footer" Target="footer3.xml"/><Relationship Id="rId14" Type="http://schemas.openxmlformats.org/officeDocument/2006/relationships/header" Target="header5.xml"/><Relationship Id="rId15" Type="http://schemas.openxmlformats.org/officeDocument/2006/relationships/footer" Target="footer4.xml"/><Relationship Id="rId16" Type="http://schemas.openxmlformats.org/officeDocument/2006/relationships/hyperlink" Target="http://www.cninfo.com.cn/" TargetMode="External"/><Relationship Id="rId17" Type="http://schemas.openxmlformats.org/officeDocument/2006/relationships/header" Target="header6.xml"/><Relationship Id="rId18" Type="http://schemas.openxmlformats.org/officeDocument/2006/relationships/footer" Target="footer5.xml"/><Relationship Id="rId1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2025-08-24T11:34:36Z</dcterms:created>
  <dcterms:modified xsi:type="dcterms:W3CDTF">2025-08-24T11:34:36Z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2025-08-24T00:00:00Z</vt:filetime>
  </property>
  <property fmtid="{D5CDD505-2E9C-101B-9397-08002B2CF9AE}" pid="3" name="Creator">
    <vt:lpwstr>Adobe InDesign 19.5 (Windows)</vt:lpwstr>
  </property>
  <property fmtid="{D5CDD505-2E9C-101B-9397-08002B2CF9AE}" pid="4" name="LastSaved">
    <vt:filetime>2025-08-24T00:00:00Z</vt:filetime>
  </property>
  <property fmtid="{D5CDD505-2E9C-101B-9397-08002B2CF9AE}" pid="5" name="Producer">
    <vt:lpwstr>Adobe PDF Library 17.0</vt:lpwstr>
  </property>
</Properties>
</file>